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Cs/>
          <w:kern w:val="0"/>
          <w:sz w:val="52"/>
          <w:szCs w:val="52"/>
        </w:rPr>
      </w:pPr>
    </w:p>
    <w:p>
      <w:pPr>
        <w:spacing w:line="540" w:lineRule="exact"/>
        <w:jc w:val="center"/>
        <w:rPr>
          <w:rFonts w:hint="eastAsia" w:ascii="方正小标宋简体" w:hAnsi="方正小标宋简体" w:eastAsia="方正小标宋简体" w:cs="方正小标宋简体"/>
          <w:bCs/>
          <w:kern w:val="0"/>
          <w:sz w:val="48"/>
          <w:szCs w:val="48"/>
        </w:rPr>
      </w:pPr>
      <w:r>
        <w:rPr>
          <w:rFonts w:hint="eastAsia" w:ascii="方正小标宋简体" w:hAnsi="方正小标宋简体" w:eastAsia="方正小标宋简体" w:cs="方正小标宋简体"/>
          <w:bCs/>
          <w:kern w:val="0"/>
          <w:sz w:val="48"/>
          <w:szCs w:val="48"/>
        </w:rPr>
        <w:t>塔城地区歌舞团三</w:t>
      </w:r>
      <w:r>
        <w:rPr>
          <w:rFonts w:hint="eastAsia" w:ascii="方正小标宋简体" w:hAnsi="方正小标宋简体" w:eastAsia="方正小标宋简体" w:cs="方正小标宋简体"/>
          <w:bCs/>
          <w:kern w:val="0"/>
          <w:sz w:val="48"/>
          <w:szCs w:val="48"/>
          <w:lang w:eastAsia="zh-CN"/>
        </w:rPr>
        <w:t>节</w:t>
      </w:r>
      <w:r>
        <w:rPr>
          <w:rFonts w:hint="eastAsia" w:ascii="方正小标宋简体" w:hAnsi="方正小标宋简体" w:eastAsia="方正小标宋简体" w:cs="方正小标宋简体"/>
          <w:bCs/>
          <w:kern w:val="0"/>
          <w:sz w:val="48"/>
          <w:szCs w:val="48"/>
        </w:rPr>
        <w:t>晚会经费绩效评价报告</w:t>
      </w:r>
    </w:p>
    <w:p>
      <w:pPr>
        <w:spacing w:line="540" w:lineRule="exact"/>
        <w:jc w:val="center"/>
        <w:rPr>
          <w:rFonts w:ascii="方正小标宋_GBK" w:hAnsi="华文中宋" w:eastAsia="方正小标宋_GBK" w:cs="宋体"/>
          <w:kern w:val="0"/>
          <w:sz w:val="48"/>
          <w:szCs w:val="48"/>
        </w:rPr>
      </w:pP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 2020</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hAnsi="宋体" w:eastAsia="仿宋_GB2312" w:cs="宋体"/>
          <w:kern w:val="0"/>
          <w:sz w:val="36"/>
          <w:szCs w:val="36"/>
          <w:lang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项目名称：三</w:t>
      </w:r>
      <w:r>
        <w:rPr>
          <w:rFonts w:hint="eastAsia" w:hAnsi="宋体" w:eastAsia="仿宋_GB2312" w:cs="宋体"/>
          <w:kern w:val="0"/>
          <w:sz w:val="36"/>
          <w:szCs w:val="36"/>
          <w:lang w:eastAsia="zh-CN"/>
        </w:rPr>
        <w:t>节</w:t>
      </w:r>
      <w:r>
        <w:rPr>
          <w:rFonts w:hint="eastAsia" w:hAnsi="宋体" w:eastAsia="仿宋_GB2312" w:cs="宋体"/>
          <w:kern w:val="0"/>
          <w:sz w:val="36"/>
          <w:szCs w:val="36"/>
        </w:rPr>
        <w:t>晚会</w:t>
      </w:r>
      <w:r>
        <w:rPr>
          <w:rFonts w:hint="eastAsia" w:hAnsi="宋体" w:eastAsia="仿宋_GB2312" w:cs="宋体"/>
          <w:kern w:val="0"/>
          <w:sz w:val="36"/>
          <w:szCs w:val="36"/>
          <w:lang w:eastAsia="zh-CN"/>
        </w:rPr>
        <w:t>经费</w:t>
      </w:r>
    </w:p>
    <w:p>
      <w:pPr>
        <w:spacing w:line="700" w:lineRule="exact"/>
        <w:ind w:firstLine="720" w:firstLineChars="200"/>
        <w:jc w:val="center"/>
        <w:rPr>
          <w:rFonts w:hint="eastAsia"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实施单位（公章）：塔城地区歌舞团</w:t>
      </w:r>
    </w:p>
    <w:p>
      <w:pPr>
        <w:spacing w:line="700" w:lineRule="exact"/>
        <w:ind w:firstLine="720" w:firstLineChars="200"/>
        <w:jc w:val="center"/>
        <w:rPr>
          <w:rFonts w:hint="eastAsia"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主管部门（公章）：</w:t>
      </w:r>
      <w:r>
        <w:rPr>
          <w:rFonts w:hint="eastAsia" w:hAnsi="宋体" w:eastAsia="仿宋_GB2312" w:cs="宋体"/>
          <w:kern w:val="0"/>
          <w:sz w:val="36"/>
          <w:szCs w:val="36"/>
        </w:rPr>
        <w:fldChar w:fldCharType="begin">
          <w:fldData xml:space="preserve">NwA1ADUAOQA3ADYAQQAwADYAOAAwADIANAA5ADEAQwBCADkAMAAxADgAMgA1AEEARABGADcAMgA4
ADUANABBAA==
</w:fldData>
        </w:fldChar>
      </w:r>
      <w:r>
        <w:rPr>
          <w:rFonts w:hint="eastAsia" w:hAnsi="宋体" w:eastAsia="仿宋_GB2312" w:cs="宋体"/>
          <w:kern w:val="0"/>
          <w:sz w:val="36"/>
          <w:szCs w:val="36"/>
        </w:rPr>
        <w:instrText xml:space="preserve">Addin 部门名称</w:instrText>
      </w:r>
      <w:r>
        <w:rPr>
          <w:rFonts w:hint="eastAsia" w:hAnsi="宋体" w:eastAsia="仿宋_GB2312" w:cs="宋体"/>
          <w:kern w:val="0"/>
          <w:sz w:val="36"/>
          <w:szCs w:val="36"/>
        </w:rPr>
        <w:fldChar w:fldCharType="separate"/>
      </w:r>
      <w:r>
        <w:rPr>
          <w:rFonts w:hint="eastAsia" w:hAnsi="宋体" w:eastAsia="仿宋_GB2312" w:cs="宋体"/>
          <w:kern w:val="0"/>
          <w:sz w:val="36"/>
          <w:szCs w:val="36"/>
        </w:rPr>
        <w:t>塔城地区文化体育广播影视局</w:t>
      </w:r>
      <w:r>
        <w:rPr>
          <w:rFonts w:hint="eastAsia" w:hAnsi="宋体" w:eastAsia="仿宋_GB2312" w:cs="宋体"/>
          <w:kern w:val="0"/>
          <w:sz w:val="36"/>
          <w:szCs w:val="36"/>
        </w:rPr>
        <w:fldChar w:fldCharType="end"/>
      </w:r>
    </w:p>
    <w:p>
      <w:pPr>
        <w:spacing w:line="70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项目负责人（签章）：达木</w:t>
      </w:r>
    </w:p>
    <w:p>
      <w:pPr>
        <w:spacing w:line="70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填报时间：</w:t>
      </w:r>
      <w:r>
        <w:rPr>
          <w:rFonts w:hAnsi="宋体" w:eastAsia="仿宋_GB2312" w:cs="宋体"/>
          <w:kern w:val="0"/>
          <w:sz w:val="36"/>
          <w:szCs w:val="36"/>
        </w:rPr>
        <w:t>2021</w:t>
      </w:r>
      <w:r>
        <w:rPr>
          <w:rFonts w:hint="eastAsia" w:hAnsi="宋体" w:eastAsia="仿宋_GB2312" w:cs="宋体"/>
          <w:kern w:val="0"/>
          <w:sz w:val="36"/>
          <w:szCs w:val="36"/>
        </w:rPr>
        <w:t>年</w:t>
      </w:r>
      <w:r>
        <w:rPr>
          <w:rFonts w:hAnsi="宋体" w:eastAsia="仿宋_GB2312" w:cs="宋体"/>
          <w:kern w:val="0"/>
          <w:sz w:val="36"/>
          <w:szCs w:val="36"/>
        </w:rPr>
        <w:t>4</w:t>
      </w:r>
      <w:r>
        <w:rPr>
          <w:rFonts w:hint="eastAsia" w:hAnsi="宋体" w:eastAsia="仿宋_GB2312" w:cs="宋体"/>
          <w:kern w:val="0"/>
          <w:sz w:val="36"/>
          <w:szCs w:val="36"/>
        </w:rPr>
        <w:t>月</w:t>
      </w:r>
      <w:r>
        <w:rPr>
          <w:rFonts w:hAnsi="宋体" w:eastAsia="仿宋_GB2312" w:cs="宋体"/>
          <w:kern w:val="0"/>
          <w:sz w:val="36"/>
          <w:szCs w:val="36"/>
        </w:rPr>
        <w:t>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、项目背景</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丰富群众文化生活，活跃节日气氛，编排表现出时代精神的代表性文艺节目，发挥创作能力，学习借鉴优秀的民族特色的文艺节，结合实际搞好创新工作，通过本项目的运行，完成塔城地区春节晚会地市演出2场。</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exact"/>
        <w:ind w:firstLine="641"/>
        <w:textAlignment w:val="auto"/>
        <w:rPr>
          <w:rFonts w:hint="eastAsia" w:eastAsia="仿宋_GB2312"/>
          <w:b w:val="0"/>
          <w:bCs w:val="0"/>
          <w:highlight w:val="none"/>
          <w:lang w:eastAsia="zh-CN"/>
        </w:rPr>
      </w:pPr>
      <w:r>
        <w:rPr>
          <w:rFonts w:hint="eastAsia" w:ascii="仿宋_GB2312" w:hAnsi="仿宋_GB2312" w:eastAsia="仿宋_GB2312" w:cs="仿宋_GB2312"/>
          <w:sz w:val="32"/>
          <w:szCs w:val="32"/>
        </w:rPr>
        <w:t>项目主要内容</w:t>
      </w:r>
      <w:r>
        <w:rPr>
          <w:rFonts w:hint="eastAsia" w:ascii="仿宋_GB2312" w:hAnsi="仿宋_GB2312" w:eastAsia="仿宋_GB2312" w:cs="仿宋_GB2312"/>
          <w:sz w:val="32"/>
          <w:szCs w:val="32"/>
          <w:lang w:eastAsia="zh-CN"/>
        </w:rPr>
        <w:t>：演出编排、演出彩排、正式演</w:t>
      </w:r>
      <w:r>
        <w:rPr>
          <w:rFonts w:hint="eastAsia" w:ascii="仿宋_GB2312" w:hAnsi="仿宋_GB2312" w:eastAsia="仿宋_GB2312" w:cs="仿宋_GB2312"/>
          <w:b w:val="0"/>
          <w:bCs w:val="0"/>
          <w:sz w:val="32"/>
          <w:szCs w:val="32"/>
          <w:lang w:eastAsia="zh-CN"/>
        </w:rPr>
        <w:t>出春节文艺晚会,主要以习近平新时代中国特色社会主义思想为指导，弘扬主旋律，传播正能量，歌颂新时代，全力推进塔城地区优秀传统文化的传承，把塔城各民族一体多元文化融入节目创作中，充分体现塔地方城文化特色。利用电视，广播及微信互动和创新性传播渠道将传统文化和新的表现方式有机融合。确保今年春晚为全塔城地区各族人民呈现一台精彩纷呈的文化盛宴。</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万元，其中：财政本级资金</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万元。项目实际支出</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万元，支出率为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万元按照《项目资金管理办法》及单位财务制度等相关规定，资金支出符合项目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项目预算资金来源于塔地（2020）01文件中批复的资金，项目资金到位45万元，用于支付项目实施进程中的各项费用。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、总体目标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b w:val="0"/>
          <w:bCs w:val="0"/>
          <w:sz w:val="32"/>
          <w:szCs w:val="32"/>
          <w:lang w:val="en-US" w:eastAsia="zh-CN"/>
        </w:rPr>
        <w:t>2020</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eastAsia="zh-CN"/>
        </w:rPr>
        <w:t>三台</w:t>
      </w:r>
      <w:r>
        <w:rPr>
          <w:rFonts w:hint="eastAsia" w:ascii="仿宋_GB2312" w:hAnsi="仿宋_GB2312" w:eastAsia="仿宋_GB2312" w:cs="仿宋_GB2312"/>
          <w:b w:val="0"/>
          <w:bCs w:val="0"/>
          <w:sz w:val="32"/>
          <w:szCs w:val="32"/>
        </w:rPr>
        <w:t>晚会,主要以习近平新时代中国特色社会主义思想为指导，弘扬主旋律，</w:t>
      </w:r>
      <w:r>
        <w:rPr>
          <w:rFonts w:hint="eastAsia" w:ascii="仿宋_GB2312" w:eastAsia="仿宋_GB2312" w:hAnsiTheme="minorEastAsia"/>
          <w:b w:val="0"/>
          <w:bCs w:val="0"/>
          <w:color w:val="000000" w:themeColor="text1"/>
          <w:sz w:val="32"/>
          <w:szCs w:val="32"/>
          <w:shd w:val="clear" w:color="auto" w:fill="FDFEFF"/>
        </w:rPr>
        <w:t>传播正能量，歌颂新时代，全力推进塔城地区优秀传统文化的传承，把塔城各民族一体多元文化融入节目创作中，充分体现塔地方城文化特色。</w:t>
      </w:r>
      <w:r>
        <w:rPr>
          <w:rFonts w:hint="eastAsia" w:ascii="仿宋_GB2312" w:hAnsi="仿宋_GB2312" w:eastAsia="仿宋_GB2312" w:cs="仿宋_GB2312"/>
          <w:b w:val="0"/>
          <w:bCs w:val="0"/>
          <w:sz w:val="32"/>
          <w:szCs w:val="32"/>
          <w:lang w:eastAsia="zh-CN"/>
        </w:rPr>
        <w:t>传承传统文化做出了积极的贡献。</w:t>
      </w:r>
      <w:r>
        <w:rPr>
          <w:rFonts w:hint="eastAsia" w:ascii="仿宋_GB2312" w:hAnsi="仿宋_GB2312" w:eastAsia="仿宋_GB2312" w:cs="仿宋_GB2312"/>
          <w:b w:val="0"/>
          <w:bCs w:val="0"/>
          <w:sz w:val="32"/>
          <w:szCs w:val="32"/>
          <w:lang w:val="en-US" w:eastAsia="zh-CN"/>
        </w:rPr>
        <w:t>前</w:t>
      </w:r>
      <w:r>
        <w:rPr>
          <w:rFonts w:hint="eastAsia" w:ascii="仿宋_GB2312" w:hAnsi="仿宋_GB2312" w:eastAsia="仿宋_GB2312" w:cs="仿宋_GB2312"/>
          <w:b w:val="0"/>
          <w:bCs w:val="0"/>
          <w:sz w:val="32"/>
          <w:szCs w:val="32"/>
          <w:lang w:eastAsia="zh-CN"/>
        </w:rPr>
        <w:t>完成塔城地区三台晚会地市演出</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lang w:eastAsia="zh-CN"/>
        </w:rPr>
        <w:t>场。</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）前期准备：根据《演出活动方案》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）组织实施：资金一到位，立即根据项目要求实施项目。项目责任人按照《演出活动方案》要求逐一进行项目部署安排，提高项目质量及效率性。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sz w:val="32"/>
          <w:szCs w:val="32"/>
        </w:rPr>
        <w:t>综合来看，通过开展有效的财政支出绩效评价管理，达到改</w:t>
      </w:r>
      <w:r>
        <w:rPr>
          <w:rFonts w:hint="eastAsia" w:ascii="仿宋_GB2312" w:hAnsi="仿宋_GB2312" w:eastAsia="仿宋_GB2312" w:cs="仿宋_GB2312"/>
          <w:color w:val="000000"/>
          <w:spacing w:val="17"/>
          <w:sz w:val="32"/>
          <w:szCs w:val="32"/>
        </w:rPr>
        <w:t>进预算管理、控制节约成本，提高预算资金使用效益的目的。</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lang w:val="en-US" w:eastAsia="zh-CN"/>
        </w:rPr>
        <w:t>2、</w:t>
      </w:r>
      <w:r>
        <w:rPr>
          <w:rFonts w:hint="eastAsia" w:ascii="仿宋_GB2312" w:hAnsi="仿宋_GB2312" w:eastAsia="仿宋_GB2312" w:cs="仿宋_GB2312"/>
          <w:b/>
          <w:bCs/>
          <w:color w:val="000000"/>
          <w:spacing w:val="17"/>
          <w:sz w:val="32"/>
          <w:szCs w:val="32"/>
        </w:rPr>
        <w:t>绩效评价的对象</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color w:val="000000"/>
          <w:spacing w:val="17"/>
          <w:sz w:val="32"/>
          <w:szCs w:val="32"/>
          <w:lang w:val="en-US" w:eastAsia="zh-CN"/>
        </w:rPr>
      </w:pPr>
      <w:r>
        <w:rPr>
          <w:rFonts w:hint="eastAsia" w:ascii="仿宋_GB2312" w:hAnsi="仿宋_GB2312" w:eastAsia="仿宋_GB2312" w:cs="仿宋_GB2312"/>
          <w:b/>
          <w:bCs/>
          <w:color w:val="000000"/>
          <w:spacing w:val="17"/>
          <w:sz w:val="32"/>
          <w:szCs w:val="32"/>
          <w:lang w:val="en-US" w:eastAsia="zh-CN"/>
        </w:rPr>
        <w:t>3、</w:t>
      </w:r>
      <w:r>
        <w:rPr>
          <w:rFonts w:hint="eastAsia" w:ascii="仿宋_GB2312" w:hAnsi="仿宋_GB2312" w:eastAsia="仿宋_GB2312" w:cs="仿宋_GB2312"/>
          <w:b/>
          <w:bCs/>
          <w:color w:val="000000"/>
          <w:spacing w:val="17"/>
          <w:sz w:val="32"/>
          <w:szCs w:val="32"/>
        </w:rPr>
        <w:t>绩效评价的范围</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w:t>
      </w: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）、评价方法、评价标准。</w:t>
      </w:r>
    </w:p>
    <w:p>
      <w:pPr>
        <w:pStyle w:val="17"/>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ascii="仿宋_GB2312" w:hAnsi="仿宋_GB2312" w:eastAsia="仿宋_GB2312" w:cs="仿宋_GB2312"/>
          <w:b/>
          <w:bCs/>
        </w:rPr>
        <w:t>1</w:t>
      </w:r>
      <w:r>
        <w:rPr>
          <w:rFonts w:hint="eastAsia" w:ascii="仿宋_GB2312" w:hAnsi="仿宋_GB2312" w:eastAsia="仿宋_GB2312" w:cs="仿宋_GB2312"/>
          <w:b/>
          <w:bCs/>
        </w:rPr>
        <w:t>、绩效评价原则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7"/>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1</w:t>
      </w:r>
      <w:r>
        <w:rPr>
          <w:rFonts w:hint="eastAsia" w:ascii="仿宋_GB2312" w:hAnsi="仿宋_GB2312" w:eastAsia="仿宋_GB2312" w:cs="仿宋_GB2312"/>
          <w:b w:val="0"/>
          <w:bCs w:val="0"/>
        </w:rPr>
        <w:t>）科学公正。绩效评价应当运用科学合理的方法，按照规范的程序，对项目绩效进行客观、公正的反映。</w:t>
      </w:r>
    </w:p>
    <w:p>
      <w:pPr>
        <w:pStyle w:val="17"/>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2</w:t>
      </w:r>
      <w:r>
        <w:rPr>
          <w:rFonts w:hint="eastAsia" w:ascii="仿宋_GB2312" w:hAnsi="仿宋_GB2312" w:eastAsia="仿宋_GB2312" w:cs="仿宋_GB2312"/>
          <w:b w:val="0"/>
          <w:bCs w:val="0"/>
        </w:rPr>
        <w:t>）统筹兼顾。单位自评、部门评价和财政评价应职责明确，各有侧重，相互衔接。单位自评应由项目单位自主实施，即“谁支出、谁自评”部门评价和财政评价应在单位自评的基础上开展。</w:t>
      </w:r>
    </w:p>
    <w:p>
      <w:pPr>
        <w:pStyle w:val="17"/>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3</w:t>
      </w:r>
      <w:r>
        <w:rPr>
          <w:rFonts w:hint="eastAsia" w:ascii="仿宋_GB2312" w:hAnsi="仿宋_GB2312" w:eastAsia="仿宋_GB2312" w:cs="仿宋_GB2312"/>
          <w:b w:val="0"/>
          <w:bCs w:val="0"/>
        </w:rPr>
        <w:t>）激励约束。绩效评价结果应与预算安排、政策调整、改进管理实质性挂钩，体现奖优罚劣和激励相容导向，有效要安排、低效要压减、无效要问责。</w:t>
      </w:r>
    </w:p>
    <w:p>
      <w:pPr>
        <w:pStyle w:val="17"/>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4</w:t>
      </w:r>
      <w:r>
        <w:rPr>
          <w:rFonts w:hint="eastAsia" w:ascii="仿宋_GB2312" w:hAnsi="仿宋_GB2312" w:eastAsia="仿宋_GB2312" w:cs="仿宋_GB2312"/>
          <w:b w:val="0"/>
          <w:bCs w:val="0"/>
        </w:rPr>
        <w:t>）公开透明。绩效评价结果应依法依规公开，并自觉接受社会监督。</w:t>
      </w:r>
    </w:p>
    <w:p>
      <w:pPr>
        <w:pStyle w:val="17"/>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ascii="仿宋_GB2312" w:hAnsi="仿宋_GB2312" w:eastAsia="仿宋_GB2312" w:cs="仿宋_GB2312"/>
          <w:b/>
          <w:bCs/>
        </w:rPr>
        <w:t>2</w:t>
      </w:r>
      <w:r>
        <w:rPr>
          <w:rFonts w:hint="eastAsia" w:ascii="仿宋_GB2312" w:hAnsi="仿宋_GB2312" w:eastAsia="仿宋_GB2312" w:cs="仿宋_GB2312"/>
          <w:b/>
          <w:bCs/>
        </w:rPr>
        <w:t>、评价指标体系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rPr>
        <w:t>）确定评价指标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2</w:t>
      </w:r>
      <w:r>
        <w:rPr>
          <w:rFonts w:hint="eastAsia" w:ascii="仿宋_GB2312" w:hAnsi="仿宋_GB2312" w:eastAsia="仿宋_GB2312" w:cs="仿宋_GB2312"/>
          <w:color w:val="000000"/>
          <w:spacing w:val="17"/>
          <w:sz w:val="32"/>
          <w:szCs w:val="32"/>
        </w:rPr>
        <w:t>）确定权重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w:t>
      </w:r>
      <w:r>
        <w:rPr>
          <w:rFonts w:hint="eastAsia" w:ascii="仿宋_GB2312" w:hAnsi="仿宋_GB2312" w:eastAsia="仿宋_GB2312" w:cs="仿宋_GB2312"/>
          <w:color w:val="000000"/>
          <w:spacing w:val="17"/>
          <w:sz w:val="32"/>
          <w:szCs w:val="32"/>
          <w:lang w:val="en-US" w:eastAsia="zh-CN"/>
        </w:rPr>
        <w:t>20</w:t>
      </w:r>
      <w:r>
        <w:rPr>
          <w:rFonts w:hint="eastAsia" w:ascii="仿宋_GB2312" w:hAnsi="仿宋_GB2312" w:eastAsia="仿宋_GB2312" w:cs="仿宋_GB2312"/>
          <w:color w:val="000000"/>
          <w:spacing w:val="17"/>
          <w:sz w:val="32"/>
          <w:szCs w:val="32"/>
        </w:rPr>
        <w:t>分，项目过程权重占</w:t>
      </w:r>
      <w:r>
        <w:rPr>
          <w:rFonts w:hint="eastAsia" w:ascii="仿宋_GB2312" w:hAnsi="仿宋_GB2312" w:eastAsia="仿宋_GB2312" w:cs="仿宋_GB2312"/>
          <w:color w:val="000000"/>
          <w:spacing w:val="17"/>
          <w:sz w:val="32"/>
          <w:szCs w:val="32"/>
          <w:lang w:val="en-US" w:eastAsia="zh-CN"/>
        </w:rPr>
        <w:t>20</w:t>
      </w:r>
      <w:r>
        <w:rPr>
          <w:rFonts w:hint="eastAsia" w:ascii="仿宋_GB2312" w:hAnsi="仿宋_GB2312" w:eastAsia="仿宋_GB2312" w:cs="仿宋_GB2312"/>
          <w:color w:val="000000"/>
          <w:spacing w:val="17"/>
          <w:sz w:val="32"/>
          <w:szCs w:val="32"/>
        </w:rPr>
        <w:t>分，项目产出权重值占</w:t>
      </w:r>
      <w:r>
        <w:rPr>
          <w:rFonts w:hint="eastAsia" w:ascii="仿宋_GB2312" w:hAnsi="仿宋_GB2312" w:eastAsia="仿宋_GB2312" w:cs="仿宋_GB2312"/>
          <w:color w:val="000000"/>
          <w:spacing w:val="17"/>
          <w:sz w:val="32"/>
          <w:szCs w:val="32"/>
          <w:lang w:val="en-US" w:eastAsia="zh-CN"/>
        </w:rPr>
        <w:t>4</w:t>
      </w:r>
      <w:r>
        <w:rPr>
          <w:rFonts w:ascii="仿宋_GB2312" w:hAnsi="仿宋_GB2312" w:eastAsia="仿宋_GB2312" w:cs="仿宋_GB2312"/>
          <w:color w:val="000000"/>
          <w:spacing w:val="17"/>
          <w:sz w:val="32"/>
          <w:szCs w:val="32"/>
        </w:rPr>
        <w:t>0</w:t>
      </w:r>
      <w:r>
        <w:rPr>
          <w:rFonts w:hint="eastAsia" w:ascii="仿宋_GB2312" w:hAnsi="仿宋_GB2312" w:eastAsia="仿宋_GB2312" w:cs="仿宋_GB2312"/>
          <w:color w:val="000000"/>
          <w:spacing w:val="17"/>
          <w:sz w:val="32"/>
          <w:szCs w:val="32"/>
        </w:rPr>
        <w:t>分，项目效益权重值占</w:t>
      </w:r>
      <w:r>
        <w:rPr>
          <w:rFonts w:hint="eastAsia" w:ascii="仿宋_GB2312" w:hAnsi="仿宋_GB2312" w:eastAsia="仿宋_GB2312" w:cs="仿宋_GB2312"/>
          <w:color w:val="000000"/>
          <w:spacing w:val="17"/>
          <w:sz w:val="32"/>
          <w:szCs w:val="32"/>
          <w:lang w:val="en-US" w:eastAsia="zh-CN"/>
        </w:rPr>
        <w:t>20</w:t>
      </w:r>
      <w:r>
        <w:rPr>
          <w:rFonts w:hint="eastAsia" w:ascii="仿宋_GB2312" w:hAnsi="仿宋_GB2312" w:eastAsia="仿宋_GB2312" w:cs="仿宋_GB2312"/>
          <w:color w:val="000000"/>
          <w:spacing w:val="17"/>
          <w:sz w:val="32"/>
          <w:szCs w:val="32"/>
        </w:rPr>
        <w:t>分。</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3</w:t>
      </w:r>
      <w:r>
        <w:rPr>
          <w:rFonts w:hint="eastAsia" w:ascii="仿宋_GB2312" w:hAnsi="仿宋_GB2312" w:eastAsia="仿宋_GB2312" w:cs="仿宋_GB2312"/>
          <w:color w:val="000000"/>
          <w:spacing w:val="17"/>
          <w:sz w:val="32"/>
          <w:szCs w:val="32"/>
        </w:rPr>
        <w:t>）确定指标标准值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7"/>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w:t>
      </w:r>
      <w:r>
        <w:rPr>
          <w:rFonts w:ascii="仿宋_GB2312" w:hAnsi="仿宋_GB2312" w:eastAsia="仿宋_GB2312" w:cs="仿宋_GB2312"/>
          <w:b w:val="0"/>
          <w:bCs w:val="0"/>
          <w:color w:val="000000"/>
          <w:spacing w:val="17"/>
          <w:kern w:val="2"/>
        </w:rPr>
        <w:t>100</w:t>
      </w:r>
      <w:r>
        <w:rPr>
          <w:rFonts w:hint="eastAsia" w:ascii="仿宋_GB2312" w:hAnsi="仿宋_GB2312" w:eastAsia="仿宋_GB2312" w:cs="仿宋_GB2312"/>
          <w:b w:val="0"/>
          <w:bCs w:val="0"/>
          <w:color w:val="000000"/>
          <w:spacing w:val="17"/>
          <w:kern w:val="2"/>
        </w:rPr>
        <w:t>分，根据综合评分结果，评价计分</w:t>
      </w:r>
      <w:r>
        <w:rPr>
          <w:rFonts w:ascii="仿宋_GB2312" w:hAnsi="仿宋_GB2312" w:eastAsia="仿宋_GB2312" w:cs="仿宋_GB2312"/>
          <w:b w:val="0"/>
          <w:bCs w:val="0"/>
          <w:color w:val="000000"/>
          <w:spacing w:val="17"/>
          <w:kern w:val="2"/>
        </w:rPr>
        <w:t>90</w:t>
      </w:r>
      <w:r>
        <w:rPr>
          <w:rFonts w:hint="eastAsia" w:ascii="仿宋_GB2312" w:hAnsi="仿宋_GB2312" w:eastAsia="仿宋_GB2312" w:cs="仿宋_GB2312"/>
          <w:b w:val="0"/>
          <w:bCs w:val="0"/>
          <w:color w:val="000000"/>
          <w:spacing w:val="17"/>
          <w:kern w:val="2"/>
        </w:rPr>
        <w:t>分</w:t>
      </w:r>
      <w:r>
        <w:rPr>
          <w:rFonts w:ascii="仿宋_GB2312" w:hAnsi="仿宋_GB2312" w:eastAsia="仿宋_GB2312" w:cs="仿宋_GB2312"/>
          <w:b w:val="0"/>
          <w:bCs w:val="0"/>
          <w:color w:val="000000"/>
          <w:spacing w:val="17"/>
          <w:kern w:val="2"/>
        </w:rPr>
        <w:t>-100</w:t>
      </w:r>
      <w:r>
        <w:rPr>
          <w:rFonts w:hint="eastAsia" w:ascii="仿宋_GB2312" w:hAnsi="仿宋_GB2312" w:eastAsia="仿宋_GB2312" w:cs="仿宋_GB2312"/>
          <w:b w:val="0"/>
          <w:bCs w:val="0"/>
          <w:color w:val="000000"/>
          <w:spacing w:val="17"/>
          <w:kern w:val="2"/>
        </w:rPr>
        <w:t>分（含</w:t>
      </w:r>
      <w:r>
        <w:rPr>
          <w:rFonts w:ascii="仿宋_GB2312" w:hAnsi="仿宋_GB2312" w:eastAsia="仿宋_GB2312" w:cs="仿宋_GB2312"/>
          <w:b w:val="0"/>
          <w:bCs w:val="0"/>
          <w:color w:val="000000"/>
          <w:spacing w:val="17"/>
          <w:kern w:val="2"/>
        </w:rPr>
        <w:t>90</w:t>
      </w:r>
      <w:r>
        <w:rPr>
          <w:rFonts w:hint="eastAsia" w:ascii="仿宋_GB2312" w:hAnsi="仿宋_GB2312" w:eastAsia="仿宋_GB2312" w:cs="仿宋_GB2312"/>
          <w:b w:val="0"/>
          <w:bCs w:val="0"/>
          <w:color w:val="000000"/>
          <w:spacing w:val="17"/>
          <w:kern w:val="2"/>
        </w:rPr>
        <w:t>分）对应的评分结果级别为优，</w:t>
      </w:r>
      <w:r>
        <w:rPr>
          <w:rFonts w:ascii="仿宋_GB2312" w:hAnsi="仿宋_GB2312" w:eastAsia="仿宋_GB2312" w:cs="仿宋_GB2312"/>
          <w:b w:val="0"/>
          <w:bCs w:val="0"/>
          <w:color w:val="000000"/>
          <w:spacing w:val="17"/>
          <w:kern w:val="2"/>
        </w:rPr>
        <w:t>80-90</w:t>
      </w:r>
      <w:r>
        <w:rPr>
          <w:rFonts w:hint="eastAsia" w:ascii="仿宋_GB2312" w:hAnsi="仿宋_GB2312" w:eastAsia="仿宋_GB2312" w:cs="仿宋_GB2312"/>
          <w:b w:val="0"/>
          <w:bCs w:val="0"/>
          <w:color w:val="000000"/>
          <w:spacing w:val="17"/>
          <w:kern w:val="2"/>
        </w:rPr>
        <w:t>分（含</w:t>
      </w:r>
      <w:r>
        <w:rPr>
          <w:rFonts w:ascii="仿宋_GB2312" w:hAnsi="仿宋_GB2312" w:eastAsia="仿宋_GB2312" w:cs="仿宋_GB2312"/>
          <w:b w:val="0"/>
          <w:bCs w:val="0"/>
          <w:color w:val="000000"/>
          <w:spacing w:val="17"/>
          <w:kern w:val="2"/>
        </w:rPr>
        <w:t>80</w:t>
      </w:r>
      <w:r>
        <w:rPr>
          <w:rFonts w:hint="eastAsia" w:ascii="仿宋_GB2312" w:hAnsi="仿宋_GB2312" w:eastAsia="仿宋_GB2312" w:cs="仿宋_GB2312"/>
          <w:b w:val="0"/>
          <w:bCs w:val="0"/>
          <w:color w:val="000000"/>
          <w:spacing w:val="17"/>
          <w:kern w:val="2"/>
        </w:rPr>
        <w:t>分）对应的评分结果级别为良，</w:t>
      </w:r>
      <w:r>
        <w:rPr>
          <w:rFonts w:ascii="仿宋_GB2312" w:hAnsi="仿宋_GB2312" w:eastAsia="仿宋_GB2312" w:cs="仿宋_GB2312"/>
          <w:b w:val="0"/>
          <w:bCs w:val="0"/>
          <w:color w:val="000000"/>
          <w:spacing w:val="17"/>
          <w:kern w:val="2"/>
        </w:rPr>
        <w:t>60-80</w:t>
      </w:r>
      <w:r>
        <w:rPr>
          <w:rFonts w:hint="eastAsia" w:ascii="仿宋_GB2312" w:hAnsi="仿宋_GB2312" w:eastAsia="仿宋_GB2312" w:cs="仿宋_GB2312"/>
          <w:b w:val="0"/>
          <w:bCs w:val="0"/>
          <w:color w:val="000000"/>
          <w:spacing w:val="17"/>
          <w:kern w:val="2"/>
        </w:rPr>
        <w:t>分（含</w:t>
      </w:r>
      <w:r>
        <w:rPr>
          <w:rFonts w:ascii="仿宋_GB2312" w:hAnsi="仿宋_GB2312" w:eastAsia="仿宋_GB2312" w:cs="仿宋_GB2312"/>
          <w:b w:val="0"/>
          <w:bCs w:val="0"/>
          <w:color w:val="000000"/>
          <w:spacing w:val="17"/>
          <w:kern w:val="2"/>
        </w:rPr>
        <w:t>60</w:t>
      </w:r>
      <w:r>
        <w:rPr>
          <w:rFonts w:hint="eastAsia" w:ascii="仿宋_GB2312" w:hAnsi="仿宋_GB2312" w:eastAsia="仿宋_GB2312" w:cs="仿宋_GB2312"/>
          <w:b w:val="0"/>
          <w:bCs w:val="0"/>
          <w:color w:val="000000"/>
          <w:spacing w:val="17"/>
          <w:kern w:val="2"/>
        </w:rPr>
        <w:t>分）对应的评分结果级别为中，</w:t>
      </w:r>
      <w:r>
        <w:rPr>
          <w:rFonts w:ascii="仿宋_GB2312" w:hAnsi="仿宋_GB2312" w:eastAsia="仿宋_GB2312" w:cs="仿宋_GB2312"/>
          <w:b w:val="0"/>
          <w:bCs w:val="0"/>
          <w:color w:val="000000"/>
          <w:spacing w:val="17"/>
          <w:kern w:val="2"/>
        </w:rPr>
        <w:t>60</w:t>
      </w:r>
      <w:r>
        <w:rPr>
          <w:rFonts w:hint="eastAsia" w:ascii="仿宋_GB2312" w:hAnsi="仿宋_GB2312" w:eastAsia="仿宋_GB2312" w:cs="仿宋_GB2312"/>
          <w:b w:val="0"/>
          <w:bCs w:val="0"/>
          <w:color w:val="000000"/>
          <w:spacing w:val="17"/>
          <w:kern w:val="2"/>
        </w:rPr>
        <w:t>分以下对应的评分结果级别为差。</w:t>
      </w:r>
    </w:p>
    <w:p>
      <w:pPr>
        <w:pStyle w:val="17"/>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kern w:val="2"/>
        </w:rPr>
        <w:t>具体评价指标体系详情见附</w:t>
      </w:r>
      <w:r>
        <w:rPr>
          <w:rFonts w:hint="eastAsia" w:ascii="仿宋_GB2312" w:hAnsi="仿宋_GB2312" w:eastAsia="仿宋_GB2312" w:cs="仿宋_GB2312"/>
          <w:b w:val="0"/>
          <w:bCs w:val="0"/>
          <w:color w:val="000000"/>
          <w:spacing w:val="17"/>
        </w:rPr>
        <w:t>件</w:t>
      </w:r>
      <w:r>
        <w:rPr>
          <w:rFonts w:ascii="仿宋_GB2312" w:hAnsi="仿宋_GB2312" w:eastAsia="仿宋_GB2312" w:cs="仿宋_GB2312"/>
          <w:b w:val="0"/>
          <w:bCs w:val="0"/>
          <w:color w:val="000000"/>
          <w:spacing w:val="17"/>
        </w:rPr>
        <w:t>1</w:t>
      </w:r>
    </w:p>
    <w:p>
      <w:pPr>
        <w:pStyle w:val="17"/>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ascii="仿宋_GB2312" w:hAnsi="仿宋_GB2312" w:eastAsia="仿宋_GB2312" w:cs="仿宋_GB2312"/>
          <w:b/>
          <w:bCs/>
        </w:rPr>
        <w:t>3</w:t>
      </w:r>
      <w:r>
        <w:rPr>
          <w:rFonts w:hint="eastAsia" w:ascii="仿宋_GB2312" w:hAnsi="仿宋_GB2312" w:eastAsia="仿宋_GB2312" w:cs="仿宋_GB2312"/>
          <w:b/>
          <w:bCs/>
        </w:rPr>
        <w:t>、绩效评价方法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rPr>
        <w:t>）比较法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2</w:t>
      </w:r>
      <w:r>
        <w:rPr>
          <w:rFonts w:hint="eastAsia" w:ascii="仿宋_GB2312" w:hAnsi="仿宋_GB2312" w:eastAsia="仿宋_GB2312" w:cs="仿宋_GB2312"/>
          <w:color w:val="000000"/>
          <w:spacing w:val="17"/>
          <w:sz w:val="32"/>
          <w:szCs w:val="32"/>
        </w:rPr>
        <w:t>）因素分析法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7"/>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ascii="仿宋_GB2312" w:hAnsi="仿宋_GB2312" w:eastAsia="仿宋_GB2312" w:cs="仿宋_GB2312"/>
          <w:b/>
          <w:bCs/>
        </w:rPr>
        <w:t>4</w:t>
      </w:r>
      <w:r>
        <w:rPr>
          <w:rFonts w:hint="eastAsia" w:ascii="仿宋_GB2312" w:hAnsi="仿宋_GB2312" w:eastAsia="仿宋_GB2312" w:cs="仿宋_GB2312"/>
          <w:b/>
          <w:bCs/>
        </w:rPr>
        <w:t>、绩效评价标准</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firstLine="711"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b/>
          <w:bCs/>
          <w:color w:val="000000"/>
          <w:spacing w:val="17"/>
          <w:sz w:val="32"/>
          <w:szCs w:val="32"/>
        </w:rPr>
        <w:t>（三）绩效评价工作过程</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w:t>
      </w: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pPr>
      <w:r>
        <w:rPr>
          <w:rFonts w:ascii="仿宋_GB2312" w:hAnsi="仿宋_GB2312" w:eastAsia="仿宋_GB2312" w:cs="仿宋_GB2312"/>
          <w:color w:val="000000"/>
          <w:spacing w:val="17"/>
          <w:sz w:val="32"/>
          <w:szCs w:val="32"/>
        </w:rPr>
        <w:t>3</w:t>
      </w: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17"/>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项目进行客观评价，最终评分结果：总得分为</w:t>
      </w:r>
      <w:r>
        <w:rPr>
          <w:rFonts w:ascii="仿宋_GB2312" w:hAnsi="仿宋_GB2312" w:eastAsia="仿宋_GB2312" w:cs="仿宋_GB2312"/>
          <w:b w:val="0"/>
          <w:bCs w:val="0"/>
        </w:rPr>
        <w:t xml:space="preserve"> 9</w:t>
      </w:r>
      <w:r>
        <w:rPr>
          <w:rFonts w:hint="eastAsia" w:ascii="仿宋_GB2312" w:hAnsi="仿宋_GB2312" w:eastAsia="仿宋_GB2312" w:cs="仿宋_GB2312"/>
          <w:b w:val="0"/>
          <w:bCs w:val="0"/>
          <w:lang w:val="en-US" w:eastAsia="zh-CN"/>
        </w:rPr>
        <w:t>8</w:t>
      </w:r>
      <w:r>
        <w:rPr>
          <w:rFonts w:hint="eastAsia" w:ascii="仿宋_GB2312" w:hAnsi="仿宋_GB2312" w:eastAsia="仿宋_GB2312" w:cs="仿宋_GB2312"/>
          <w:b w:val="0"/>
          <w:bCs w:val="0"/>
        </w:rPr>
        <w:t>属于“优”。其中，项目决策类指标权重为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分，得分为</w:t>
      </w:r>
      <w:r>
        <w:rPr>
          <w:rFonts w:ascii="仿宋_GB2312" w:hAnsi="仿宋_GB2312" w:eastAsia="仿宋_GB2312" w:cs="仿宋_GB2312"/>
          <w:b w:val="0"/>
          <w:bCs w:val="0"/>
        </w:rPr>
        <w:t xml:space="preserve"> </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 xml:space="preserve"> 100%</w:t>
      </w:r>
      <w:r>
        <w:rPr>
          <w:rFonts w:hint="eastAsia" w:ascii="仿宋_GB2312" w:hAnsi="仿宋_GB2312" w:eastAsia="仿宋_GB2312" w:cs="仿宋_GB2312"/>
          <w:b w:val="0"/>
          <w:bCs w:val="0"/>
        </w:rPr>
        <w:t>。项目过程类指标权重为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分，得分为</w:t>
      </w:r>
      <w:r>
        <w:rPr>
          <w:rFonts w:hint="eastAsia" w:ascii="仿宋_GB2312" w:hAnsi="仿宋_GB2312" w:eastAsia="仿宋_GB2312" w:cs="仿宋_GB2312"/>
          <w:b w:val="0"/>
          <w:bCs w:val="0"/>
          <w:lang w:val="en-US" w:eastAsia="zh-CN"/>
        </w:rPr>
        <w:t>20</w:t>
      </w:r>
      <w:r>
        <w:rPr>
          <w:rFonts w:ascii="仿宋_GB2312" w:hAnsi="仿宋_GB2312" w:eastAsia="仿宋_GB2312" w:cs="仿宋_GB2312"/>
          <w:b w:val="0"/>
          <w:bCs w:val="0"/>
        </w:rPr>
        <w:t xml:space="preserve"> </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 xml:space="preserve"> 100%</w:t>
      </w:r>
      <w:r>
        <w:rPr>
          <w:rFonts w:hint="eastAsia" w:ascii="仿宋_GB2312" w:hAnsi="仿宋_GB2312" w:eastAsia="仿宋_GB2312" w:cs="仿宋_GB2312"/>
          <w:b w:val="0"/>
          <w:bCs w:val="0"/>
        </w:rPr>
        <w:t>。项目产出类指标权重为</w:t>
      </w:r>
      <w:r>
        <w:rPr>
          <w:rFonts w:hint="eastAsia" w:ascii="仿宋_GB2312" w:hAnsi="仿宋_GB2312" w:eastAsia="仿宋_GB2312" w:cs="仿宋_GB2312"/>
          <w:b w:val="0"/>
          <w:bCs w:val="0"/>
          <w:lang w:val="en-US" w:eastAsia="zh-CN"/>
        </w:rPr>
        <w:t>40</w:t>
      </w:r>
      <w:r>
        <w:rPr>
          <w:rFonts w:hint="eastAsia" w:ascii="仿宋_GB2312" w:hAnsi="仿宋_GB2312" w:eastAsia="仿宋_GB2312" w:cs="仿宋_GB2312"/>
          <w:b w:val="0"/>
          <w:bCs w:val="0"/>
        </w:rPr>
        <w:t>分，得分为</w:t>
      </w:r>
      <w:r>
        <w:rPr>
          <w:rFonts w:hint="eastAsia" w:ascii="仿宋_GB2312" w:hAnsi="仿宋_GB2312" w:eastAsia="仿宋_GB2312" w:cs="仿宋_GB2312"/>
          <w:b w:val="0"/>
          <w:bCs w:val="0"/>
          <w:lang w:val="en-US" w:eastAsia="zh-CN"/>
        </w:rPr>
        <w:t>40</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 xml:space="preserve"> 100%</w:t>
      </w:r>
      <w:r>
        <w:rPr>
          <w:rFonts w:hint="eastAsia" w:ascii="仿宋_GB2312" w:hAnsi="仿宋_GB2312" w:eastAsia="仿宋_GB2312" w:cs="仿宋_GB2312"/>
          <w:b w:val="0"/>
          <w:bCs w:val="0"/>
        </w:rPr>
        <w:t>。项目效益类指标权重为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分，得分为</w:t>
      </w:r>
      <w:r>
        <w:rPr>
          <w:rFonts w:hint="eastAsia" w:ascii="仿宋_GB2312" w:hAnsi="仿宋_GB2312" w:eastAsia="仿宋_GB2312" w:cs="仿宋_GB2312"/>
          <w:b w:val="0"/>
          <w:bCs w:val="0"/>
          <w:lang w:val="en-US" w:eastAsia="zh-CN"/>
        </w:rPr>
        <w:t>1</w:t>
      </w:r>
      <w:r>
        <w:rPr>
          <w:rFonts w:ascii="仿宋_GB2312" w:hAnsi="仿宋_GB2312" w:eastAsia="仿宋_GB2312" w:cs="仿宋_GB2312"/>
          <w:b w:val="0"/>
          <w:bCs w:val="0"/>
        </w:rPr>
        <w:t>8</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 xml:space="preserve"> </w:t>
      </w:r>
      <w:r>
        <w:rPr>
          <w:rFonts w:hint="eastAsia" w:ascii="仿宋_GB2312" w:hAnsi="仿宋_GB2312" w:eastAsia="仿宋_GB2312" w:cs="仿宋_GB2312"/>
          <w:b w:val="0"/>
          <w:bCs w:val="0"/>
          <w:lang w:val="en-US" w:eastAsia="zh-CN"/>
        </w:rPr>
        <w:t>90</w:t>
      </w:r>
      <w:r>
        <w:rPr>
          <w:rFonts w:ascii="仿宋_GB2312" w:hAnsi="仿宋_GB2312" w:eastAsia="仿宋_GB2312" w:cs="仿宋_GB2312"/>
          <w:b w:val="0"/>
          <w:bCs w:val="0"/>
        </w:rPr>
        <w:t>%</w:t>
      </w:r>
      <w:r>
        <w:rPr>
          <w:rFonts w:hint="eastAsia" w:ascii="仿宋_GB2312" w:hAnsi="仿宋_GB2312" w:eastAsia="仿宋_GB2312" w:cs="仿宋_GB2312"/>
          <w:b w:val="0"/>
          <w:bCs w:val="0"/>
        </w:rPr>
        <w:t>。</w:t>
      </w:r>
    </w:p>
    <w:p>
      <w:pPr>
        <w:pStyle w:val="17"/>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综合评分表</w:t>
      </w:r>
    </w:p>
    <w:tbl>
      <w:tblPr>
        <w:tblStyle w:val="19"/>
        <w:tblpPr w:leftFromText="180" w:rightFromText="180" w:vertAnchor="text" w:horzAnchor="page" w:tblpX="2239" w:tblpY="230"/>
        <w:tblOverlap w:val="never"/>
        <w:tblW w:w="72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60"/>
        <w:gridCol w:w="984"/>
        <w:gridCol w:w="1428"/>
        <w:gridCol w:w="1524"/>
        <w:gridCol w:w="900"/>
        <w:gridCol w:w="9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56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一级指标</w:t>
            </w:r>
          </w:p>
        </w:tc>
        <w:tc>
          <w:tcPr>
            <w:tcW w:w="98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分值</w:t>
            </w:r>
          </w:p>
        </w:tc>
        <w:tc>
          <w:tcPr>
            <w:tcW w:w="1428"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二级指标</w:t>
            </w:r>
          </w:p>
        </w:tc>
        <w:tc>
          <w:tcPr>
            <w:tcW w:w="152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三级指标</w:t>
            </w:r>
          </w:p>
        </w:tc>
        <w:tc>
          <w:tcPr>
            <w:tcW w:w="90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权重</w:t>
            </w:r>
          </w:p>
        </w:tc>
        <w:tc>
          <w:tcPr>
            <w:tcW w:w="90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决策</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kern w:val="0"/>
                <w:sz w:val="18"/>
                <w:szCs w:val="18"/>
                <w:lang w:val="en-US" w:eastAsia="zh-CN"/>
              </w:rPr>
              <w:t>20</w:t>
            </w:r>
            <w:r>
              <w:rPr>
                <w:rFonts w:hint="eastAsia" w:ascii="宋体" w:hAnsi="宋体" w:cs="宋体"/>
                <w:kern w:val="0"/>
                <w:sz w:val="18"/>
                <w:szCs w:val="18"/>
              </w:rPr>
              <w:t>分</w:t>
            </w: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项目立项</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充分性</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5</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规范性</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5</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绩效目标</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合理性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2.5</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明确性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2.5</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资金投入</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科学性</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2.5</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合理性</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2.5</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kern w:val="0"/>
                <w:sz w:val="18"/>
                <w:szCs w:val="18"/>
                <w:lang w:val="en-US" w:eastAsia="zh-CN"/>
              </w:rPr>
              <w:t>20</w:t>
            </w:r>
            <w:r>
              <w:rPr>
                <w:rFonts w:hint="eastAsia" w:ascii="宋体" w:hAnsi="宋体" w:cs="宋体"/>
                <w:kern w:val="0"/>
                <w:sz w:val="18"/>
                <w:szCs w:val="18"/>
              </w:rPr>
              <w:t>分</w:t>
            </w: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资金管理</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资金到位率</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预算执行率</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资金管理</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合规性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组织实施</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健全性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有效性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产出</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kern w:val="0"/>
                <w:sz w:val="18"/>
                <w:szCs w:val="18"/>
                <w:lang w:val="en-US" w:eastAsia="zh-CN"/>
              </w:rPr>
              <w:t>4</w:t>
            </w:r>
            <w:r>
              <w:rPr>
                <w:rFonts w:ascii="宋体" w:hAnsi="宋体" w:cs="宋体"/>
                <w:kern w:val="0"/>
                <w:sz w:val="18"/>
                <w:szCs w:val="18"/>
              </w:rPr>
              <w:t>0</w:t>
            </w:r>
            <w:r>
              <w:rPr>
                <w:rFonts w:hint="eastAsia" w:ascii="宋体" w:hAnsi="宋体" w:cs="宋体"/>
                <w:kern w:val="0"/>
                <w:sz w:val="18"/>
                <w:szCs w:val="18"/>
              </w:rPr>
              <w:t>分</w:t>
            </w:r>
          </w:p>
        </w:tc>
        <w:tc>
          <w:tcPr>
            <w:tcW w:w="142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产出数量</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实际完成率</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产出质量</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质量达标率</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产出时效</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完成及时性</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产出成本</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成本节约率</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效益</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lang w:val="en-US" w:eastAsia="zh-CN"/>
              </w:rPr>
              <w:t>20</w:t>
            </w:r>
            <w:r>
              <w:rPr>
                <w:rFonts w:hint="eastAsia" w:ascii="宋体" w:hAnsi="宋体" w:cs="宋体"/>
                <w:color w:val="000000"/>
                <w:kern w:val="0"/>
                <w:sz w:val="18"/>
                <w:szCs w:val="18"/>
              </w:rPr>
              <w:t>分</w:t>
            </w:r>
          </w:p>
        </w:tc>
        <w:tc>
          <w:tcPr>
            <w:tcW w:w="142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项目效益</w:t>
            </w: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（社会效益、经济效益、可持续效益）</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15</w:t>
            </w:r>
          </w:p>
        </w:tc>
        <w:tc>
          <w:tcPr>
            <w:tcW w:w="9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56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42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p>
        </w:tc>
        <w:tc>
          <w:tcPr>
            <w:tcW w:w="15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hint="eastAsia" w:ascii="宋体" w:hAnsi="宋体" w:cs="宋体"/>
                <w:color w:val="000000"/>
                <w:kern w:val="0"/>
                <w:sz w:val="18"/>
                <w:szCs w:val="18"/>
              </w:rPr>
              <w:t>满意度</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5</w:t>
            </w:r>
          </w:p>
        </w:tc>
        <w:tc>
          <w:tcPr>
            <w:tcW w:w="9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18"/>
                <w:szCs w:val="18"/>
              </w:rPr>
            </w:pPr>
            <w:r>
              <w:rPr>
                <w:rFonts w:ascii="宋体" w:hAnsi="宋体" w:cs="宋体"/>
                <w:color w:val="000000"/>
                <w:kern w:val="0"/>
                <w:sz w:val="18"/>
                <w:szCs w:val="18"/>
              </w:rPr>
              <w:t>5</w:t>
            </w:r>
          </w:p>
        </w:tc>
      </w:tr>
    </w:tbl>
    <w:p>
      <w:pPr>
        <w:pageBreakBefore w:val="0"/>
        <w:kinsoku/>
        <w:wordWrap/>
        <w:overflowPunct/>
        <w:topLinePunct w:val="0"/>
        <w:autoSpaceDE/>
        <w:autoSpaceDN/>
        <w:bidi w:val="0"/>
        <w:adjustRightInd/>
        <w:snapToGrid/>
        <w:spacing w:line="560" w:lineRule="exact"/>
        <w:jc w:val="center"/>
        <w:textAlignment w:val="auto"/>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ind w:firstLine="1600" w:firstLineChars="500"/>
        <w:jc w:val="center"/>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8"/>
          <w:sz w:val="32"/>
          <w:szCs w:val="32"/>
          <w:lang w:val="en-US" w:eastAsia="zh-CN" w:bidi="ar-SA"/>
        </w:rPr>
      </w:pPr>
      <w:r>
        <w:rPr>
          <w:rFonts w:hint="eastAsia" w:ascii="楷体_GB2312" w:hAnsi="楷体_GB2312" w:eastAsia="楷体_GB2312" w:cs="楷体_GB2312"/>
          <w:b/>
          <w:bCs/>
          <w:kern w:val="28"/>
          <w:sz w:val="32"/>
          <w:szCs w:val="32"/>
          <w:lang w:val="en-US" w:eastAsia="zh-CN" w:bidi="ar-SA"/>
        </w:rPr>
        <w:t>四、绩效评价指标分析</w:t>
      </w:r>
    </w:p>
    <w:p>
      <w:pPr>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8"/>
          <w:sz w:val="32"/>
          <w:szCs w:val="32"/>
          <w:lang w:val="en-US" w:eastAsia="zh-CN" w:bidi="ar-SA"/>
        </w:rPr>
      </w:pPr>
      <w:r>
        <w:rPr>
          <w:rFonts w:hint="eastAsia" w:ascii="楷体_GB2312" w:hAnsi="楷体_GB2312" w:eastAsia="楷体_GB2312" w:cs="楷体_GB2312"/>
          <w:b/>
          <w:bCs/>
          <w:kern w:val="28"/>
          <w:sz w:val="32"/>
          <w:szCs w:val="32"/>
          <w:lang w:val="en-US" w:eastAsia="zh-CN" w:bidi="ar-SA"/>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项目决策指标从</w:t>
      </w:r>
      <w:r>
        <w:rPr>
          <w:rStyle w:val="21"/>
          <w:rFonts w:hint="eastAsia" w:ascii="仿宋" w:hAnsi="仿宋" w:eastAsia="仿宋" w:cs="仿宋"/>
          <w:b w:val="0"/>
          <w:spacing w:val="-4"/>
          <w:sz w:val="32"/>
          <w:szCs w:val="32"/>
          <w:lang w:val="en-US" w:eastAsia="zh-CN"/>
        </w:rPr>
        <w:t>项目立项、</w:t>
      </w:r>
      <w:r>
        <w:rPr>
          <w:rStyle w:val="21"/>
          <w:rFonts w:hint="eastAsia" w:ascii="仿宋" w:hAnsi="仿宋" w:eastAsia="仿宋" w:cs="仿宋"/>
          <w:b w:val="0"/>
          <w:spacing w:val="-4"/>
          <w:sz w:val="32"/>
          <w:szCs w:val="32"/>
        </w:rPr>
        <w:t>绩效目标、</w:t>
      </w:r>
      <w:r>
        <w:rPr>
          <w:rStyle w:val="21"/>
          <w:rFonts w:hint="eastAsia" w:ascii="仿宋" w:hAnsi="仿宋" w:eastAsia="仿宋" w:cs="仿宋"/>
          <w:b w:val="0"/>
          <w:spacing w:val="-4"/>
          <w:sz w:val="32"/>
          <w:szCs w:val="32"/>
          <w:lang w:val="en-US" w:eastAsia="zh-CN"/>
        </w:rPr>
        <w:t>资金投入3</w:t>
      </w:r>
      <w:r>
        <w:rPr>
          <w:rStyle w:val="21"/>
          <w:rFonts w:hint="eastAsia" w:ascii="仿宋" w:hAnsi="仿宋" w:eastAsia="仿宋" w:cs="仿宋"/>
          <w:b w:val="0"/>
          <w:spacing w:val="-4"/>
          <w:sz w:val="32"/>
          <w:szCs w:val="32"/>
        </w:rPr>
        <w:t>个方面对项目的决策情况进行考察，项目决策类指标分值20分，实际得分20分，得分率100%。项目决策指标得分情况如表所示。</w:t>
      </w:r>
    </w:p>
    <w:tbl>
      <w:tblPr>
        <w:tblStyle w:val="19"/>
        <w:tblW w:w="8522" w:type="dxa"/>
        <w:jc w:val="center"/>
        <w:tblLayout w:type="fixed"/>
        <w:tblCellMar>
          <w:top w:w="0" w:type="dxa"/>
          <w:left w:w="108" w:type="dxa"/>
          <w:bottom w:w="0" w:type="dxa"/>
          <w:right w:w="108" w:type="dxa"/>
        </w:tblCellMar>
      </w:tblPr>
      <w:tblGrid>
        <w:gridCol w:w="2517"/>
        <w:gridCol w:w="2269"/>
        <w:gridCol w:w="1986"/>
        <w:gridCol w:w="1750"/>
      </w:tblGrid>
      <w:tr>
        <w:tblPrEx>
          <w:tblCellMar>
            <w:top w:w="0" w:type="dxa"/>
            <w:left w:w="108" w:type="dxa"/>
            <w:bottom w:w="0" w:type="dxa"/>
            <w:right w:w="108" w:type="dxa"/>
          </w:tblCellMar>
        </w:tblPrEx>
        <w:trPr>
          <w:trHeight w:val="480" w:hRule="atLeast"/>
          <w:jc w:val="center"/>
        </w:trPr>
        <w:tc>
          <w:tcPr>
            <w:tcW w:w="8522" w:type="dxa"/>
            <w:gridSpan w:val="4"/>
            <w:tcBorders>
              <w:top w:val="nil"/>
              <w:left w:val="nil"/>
              <w:bottom w:val="single" w:color="auto" w:sz="8"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jc w:val="center"/>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项目决策指标得分情况</w:t>
            </w:r>
          </w:p>
        </w:tc>
      </w:tr>
      <w:tr>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lang w:val="en-US" w:eastAsia="zh-CN"/>
              </w:rPr>
              <w:t>二</w:t>
            </w:r>
            <w:r>
              <w:rPr>
                <w:rStyle w:val="21"/>
                <w:rFonts w:hint="eastAsia" w:ascii="仿宋" w:hAnsi="仿宋" w:eastAsia="仿宋" w:cs="仿宋"/>
                <w:b w:val="0"/>
                <w:spacing w:val="-4"/>
                <w:sz w:val="32"/>
                <w:szCs w:val="32"/>
              </w:rPr>
              <w:t>级指标</w:t>
            </w:r>
          </w:p>
        </w:tc>
        <w:tc>
          <w:tcPr>
            <w:tcW w:w="2269"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权重</w:t>
            </w:r>
          </w:p>
        </w:tc>
        <w:tc>
          <w:tcPr>
            <w:tcW w:w="1986"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得分率</w:t>
            </w:r>
          </w:p>
        </w:tc>
        <w:tc>
          <w:tcPr>
            <w:tcW w:w="1750"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实际得分</w:t>
            </w:r>
          </w:p>
        </w:tc>
      </w:tr>
      <w:tr>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项目立项</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10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100%</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10</w:t>
            </w:r>
          </w:p>
        </w:tc>
      </w:tr>
      <w:tr>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绩效目标</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eastAsia="zh-CN"/>
              </w:rPr>
            </w:pPr>
            <w:r>
              <w:rPr>
                <w:rStyle w:val="21"/>
                <w:rFonts w:hint="eastAsia" w:ascii="宋体" w:hAnsi="宋体" w:eastAsia="宋体" w:cs="宋体"/>
                <w:b w:val="0"/>
                <w:spacing w:val="-4"/>
                <w:sz w:val="18"/>
                <w:szCs w:val="18"/>
                <w:lang w:val="en-US" w:eastAsia="zh-CN"/>
              </w:rPr>
              <w:t>5</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100%</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eastAsia="zh-CN"/>
              </w:rPr>
            </w:pPr>
            <w:r>
              <w:rPr>
                <w:rStyle w:val="21"/>
                <w:rFonts w:hint="eastAsia" w:ascii="宋体" w:hAnsi="宋体" w:eastAsia="宋体" w:cs="宋体"/>
                <w:b w:val="0"/>
                <w:spacing w:val="-4"/>
                <w:sz w:val="18"/>
                <w:szCs w:val="18"/>
                <w:lang w:val="en-US" w:eastAsia="zh-CN"/>
              </w:rPr>
              <w:t>5</w:t>
            </w:r>
          </w:p>
        </w:tc>
      </w:tr>
      <w:tr>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资金投入</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5</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100%</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5</w:t>
            </w:r>
          </w:p>
        </w:tc>
      </w:tr>
      <w:tr>
        <w:tblPrEx>
          <w:tblCellMar>
            <w:top w:w="0" w:type="dxa"/>
            <w:left w:w="108" w:type="dxa"/>
            <w:bottom w:w="0" w:type="dxa"/>
            <w:right w:w="108" w:type="dxa"/>
          </w:tblCellMar>
        </w:tblPrEx>
        <w:trPr>
          <w:trHeight w:val="510" w:hRule="exact"/>
          <w:jc w:val="center"/>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合  计</w:t>
            </w:r>
          </w:p>
        </w:tc>
        <w:tc>
          <w:tcPr>
            <w:tcW w:w="2269"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20</w:t>
            </w:r>
          </w:p>
        </w:tc>
        <w:tc>
          <w:tcPr>
            <w:tcW w:w="198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rPr>
            </w:pPr>
            <w:r>
              <w:rPr>
                <w:rStyle w:val="21"/>
                <w:rFonts w:hint="eastAsia" w:ascii="宋体" w:hAnsi="宋体" w:eastAsia="宋体" w:cs="宋体"/>
                <w:b w:val="0"/>
                <w:spacing w:val="-4"/>
                <w:sz w:val="18"/>
                <w:szCs w:val="18"/>
              </w:rPr>
              <w:t>100%</w:t>
            </w:r>
          </w:p>
        </w:tc>
        <w:tc>
          <w:tcPr>
            <w:tcW w:w="175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宋体" w:hAnsi="宋体" w:eastAsia="宋体" w:cs="宋体"/>
                <w:b w:val="0"/>
                <w:spacing w:val="-4"/>
                <w:sz w:val="18"/>
                <w:szCs w:val="18"/>
                <w:lang w:val="en-US" w:eastAsia="zh-CN"/>
              </w:rPr>
            </w:pPr>
            <w:r>
              <w:rPr>
                <w:rStyle w:val="21"/>
                <w:rFonts w:hint="eastAsia" w:ascii="宋体" w:hAnsi="宋体" w:eastAsia="宋体" w:cs="宋体"/>
                <w:b w:val="0"/>
                <w:spacing w:val="-4"/>
                <w:sz w:val="18"/>
                <w:szCs w:val="18"/>
                <w:lang w:val="en-US" w:eastAsia="zh-CN"/>
              </w:rPr>
              <w:t>18</w:t>
            </w:r>
          </w:p>
        </w:tc>
      </w:tr>
    </w:tbl>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w:t>
      </w:r>
      <w:r>
        <w:rPr>
          <w:rStyle w:val="21"/>
          <w:rFonts w:hint="eastAsia" w:ascii="仿宋" w:hAnsi="仿宋" w:eastAsia="仿宋" w:cs="仿宋"/>
          <w:b w:val="0"/>
          <w:spacing w:val="-4"/>
          <w:sz w:val="32"/>
          <w:szCs w:val="32"/>
          <w:lang w:val="en-US" w:eastAsia="zh-CN"/>
        </w:rPr>
        <w:t>项目立项</w:t>
      </w:r>
      <w:r>
        <w:rPr>
          <w:rStyle w:val="21"/>
          <w:rFonts w:hint="eastAsia" w:ascii="仿宋" w:hAnsi="仿宋" w:eastAsia="仿宋" w:cs="仿宋"/>
          <w:b w:val="0"/>
          <w:spacing w:val="-4"/>
          <w:sz w:val="32"/>
          <w:szCs w:val="32"/>
        </w:rPr>
        <w:t>”，三</w:t>
      </w:r>
      <w:r>
        <w:rPr>
          <w:rStyle w:val="21"/>
          <w:rFonts w:hint="eastAsia" w:ascii="仿宋" w:hAnsi="仿宋" w:eastAsia="仿宋" w:cs="仿宋"/>
          <w:b w:val="0"/>
          <w:spacing w:val="-4"/>
          <w:sz w:val="32"/>
          <w:szCs w:val="32"/>
          <w:lang w:eastAsia="zh-CN"/>
        </w:rPr>
        <w:t>节</w:t>
      </w:r>
      <w:r>
        <w:rPr>
          <w:rStyle w:val="21"/>
          <w:rFonts w:hint="eastAsia" w:ascii="仿宋" w:hAnsi="仿宋" w:eastAsia="仿宋" w:cs="仿宋"/>
          <w:b w:val="0"/>
          <w:spacing w:val="-4"/>
          <w:sz w:val="32"/>
          <w:szCs w:val="32"/>
        </w:rPr>
        <w:t>晚会</w:t>
      </w:r>
      <w:r>
        <w:rPr>
          <w:rStyle w:val="21"/>
          <w:rFonts w:hint="eastAsia" w:ascii="仿宋" w:hAnsi="仿宋" w:eastAsia="仿宋" w:cs="仿宋"/>
          <w:b w:val="0"/>
          <w:spacing w:val="-4"/>
          <w:sz w:val="32"/>
          <w:szCs w:val="32"/>
          <w:lang w:eastAsia="zh-CN"/>
        </w:rPr>
        <w:t>经费</w:t>
      </w:r>
      <w:r>
        <w:rPr>
          <w:rStyle w:val="21"/>
          <w:rFonts w:hint="eastAsia" w:ascii="仿宋" w:hAnsi="仿宋" w:eastAsia="仿宋" w:cs="仿宋"/>
          <w:b w:val="0"/>
          <w:spacing w:val="-4"/>
          <w:sz w:val="32"/>
          <w:szCs w:val="32"/>
        </w:rPr>
        <w:t>项目年度计划方案完整，立项清晰，项目资金申请文件齐全，申报材料审批完整。根据评分标准，该指标不扣分。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对于“绩效目标”，三</w:t>
      </w:r>
      <w:r>
        <w:rPr>
          <w:rStyle w:val="21"/>
          <w:rFonts w:hint="eastAsia" w:ascii="仿宋" w:hAnsi="仿宋" w:eastAsia="仿宋" w:cs="仿宋"/>
          <w:b w:val="0"/>
          <w:spacing w:val="-4"/>
          <w:sz w:val="32"/>
          <w:szCs w:val="32"/>
          <w:lang w:eastAsia="zh-CN"/>
        </w:rPr>
        <w:t>节</w:t>
      </w:r>
      <w:r>
        <w:rPr>
          <w:rStyle w:val="21"/>
          <w:rFonts w:hint="eastAsia" w:ascii="仿宋" w:hAnsi="仿宋" w:eastAsia="仿宋" w:cs="仿宋"/>
          <w:b w:val="0"/>
          <w:spacing w:val="-4"/>
          <w:sz w:val="32"/>
          <w:szCs w:val="32"/>
        </w:rPr>
        <w:t>晚会</w:t>
      </w:r>
      <w:r>
        <w:rPr>
          <w:rStyle w:val="21"/>
          <w:rFonts w:hint="eastAsia" w:ascii="仿宋" w:hAnsi="仿宋" w:eastAsia="仿宋" w:cs="仿宋"/>
          <w:b w:val="0"/>
          <w:spacing w:val="-4"/>
          <w:sz w:val="32"/>
          <w:szCs w:val="32"/>
          <w:lang w:eastAsia="zh-CN"/>
        </w:rPr>
        <w:t>经费</w:t>
      </w:r>
      <w:r>
        <w:rPr>
          <w:rStyle w:val="21"/>
          <w:rFonts w:hint="eastAsia" w:ascii="仿宋" w:hAnsi="仿宋" w:eastAsia="仿宋" w:cs="仿宋"/>
          <w:b w:val="0"/>
          <w:spacing w:val="-4"/>
          <w:sz w:val="32"/>
          <w:szCs w:val="32"/>
        </w:rPr>
        <w:t>项目设置了较为详细的绩效目标，绩效目标满足明确性和合理性的要求，根据评分标准，实际得分率为100%。</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w:t>
      </w:r>
      <w:r>
        <w:rPr>
          <w:rStyle w:val="21"/>
          <w:rFonts w:hint="eastAsia" w:ascii="仿宋" w:hAnsi="仿宋" w:eastAsia="仿宋" w:cs="仿宋"/>
          <w:b w:val="0"/>
          <w:spacing w:val="-4"/>
          <w:sz w:val="32"/>
          <w:szCs w:val="32"/>
          <w:lang w:val="en-US" w:eastAsia="zh-CN"/>
        </w:rPr>
        <w:t>资金投入</w:t>
      </w:r>
      <w:r>
        <w:rPr>
          <w:rStyle w:val="21"/>
          <w:rFonts w:hint="eastAsia" w:ascii="仿宋" w:hAnsi="仿宋" w:eastAsia="仿宋" w:cs="仿宋"/>
          <w:b w:val="0"/>
          <w:spacing w:val="-4"/>
          <w:sz w:val="32"/>
          <w:szCs w:val="32"/>
        </w:rPr>
        <w:t>”，三</w:t>
      </w:r>
      <w:r>
        <w:rPr>
          <w:rStyle w:val="21"/>
          <w:rFonts w:hint="eastAsia" w:ascii="仿宋" w:hAnsi="仿宋" w:eastAsia="仿宋" w:cs="仿宋"/>
          <w:b w:val="0"/>
          <w:spacing w:val="-4"/>
          <w:sz w:val="32"/>
          <w:szCs w:val="32"/>
          <w:lang w:eastAsia="zh-CN"/>
        </w:rPr>
        <w:t>节</w:t>
      </w:r>
      <w:r>
        <w:rPr>
          <w:rStyle w:val="21"/>
          <w:rFonts w:hint="eastAsia" w:ascii="仿宋" w:hAnsi="仿宋" w:eastAsia="仿宋" w:cs="仿宋"/>
          <w:b w:val="0"/>
          <w:spacing w:val="-4"/>
          <w:sz w:val="32"/>
          <w:szCs w:val="32"/>
        </w:rPr>
        <w:t>晚会</w:t>
      </w:r>
      <w:r>
        <w:rPr>
          <w:rStyle w:val="21"/>
          <w:rFonts w:hint="eastAsia" w:ascii="仿宋" w:hAnsi="仿宋" w:eastAsia="仿宋" w:cs="仿宋"/>
          <w:b w:val="0"/>
          <w:spacing w:val="-4"/>
          <w:sz w:val="32"/>
          <w:szCs w:val="32"/>
          <w:lang w:eastAsia="zh-CN"/>
        </w:rPr>
        <w:t>经费</w:t>
      </w:r>
      <w:r>
        <w:rPr>
          <w:rStyle w:val="21"/>
          <w:rFonts w:hint="eastAsia" w:ascii="仿宋" w:hAnsi="仿宋" w:eastAsia="仿宋" w:cs="仿宋"/>
          <w:b w:val="0"/>
          <w:spacing w:val="-4"/>
          <w:sz w:val="32"/>
          <w:szCs w:val="32"/>
        </w:rPr>
        <w:t>项目</w:t>
      </w:r>
      <w:r>
        <w:rPr>
          <w:rStyle w:val="21"/>
          <w:rFonts w:hint="eastAsia" w:ascii="仿宋" w:hAnsi="仿宋" w:eastAsia="仿宋" w:cs="仿宋"/>
          <w:b w:val="0"/>
          <w:spacing w:val="-4"/>
          <w:sz w:val="32"/>
          <w:szCs w:val="32"/>
          <w:lang w:val="en-US" w:eastAsia="zh-CN"/>
        </w:rPr>
        <w:t>资金到位率100%</w:t>
      </w:r>
      <w:r>
        <w:rPr>
          <w:rStyle w:val="21"/>
          <w:rFonts w:hint="eastAsia" w:ascii="仿宋" w:hAnsi="仿宋" w:eastAsia="仿宋" w:cs="仿宋"/>
          <w:b w:val="0"/>
          <w:spacing w:val="-4"/>
          <w:sz w:val="32"/>
          <w:szCs w:val="32"/>
        </w:rPr>
        <w:t>。根据评分标准，该指标不扣分。</w:t>
      </w:r>
    </w:p>
    <w:p>
      <w:pPr>
        <w:pStyle w:val="17"/>
        <w:pageBreakBefore w:val="0"/>
        <w:numPr>
          <w:ilvl w:val="0"/>
          <w:numId w:val="3"/>
        </w:numPr>
        <w:kinsoku/>
        <w:wordWrap/>
        <w:overflowPunct/>
        <w:topLinePunct w:val="0"/>
        <w:autoSpaceDE/>
        <w:autoSpaceDN/>
        <w:bidi w:val="0"/>
        <w:adjustRightInd/>
        <w:snapToGrid/>
        <w:spacing w:before="0" w:after="0" w:line="560" w:lineRule="exact"/>
        <w:ind w:firstLine="321" w:firstLineChars="100"/>
        <w:jc w:val="both"/>
        <w:textAlignment w:val="auto"/>
      </w:pPr>
      <w:r>
        <w:rPr>
          <w:rFonts w:hint="eastAsia" w:ascii="楷体_GB2312" w:hAnsi="楷体_GB2312" w:eastAsia="楷体_GB2312" w:cs="楷体_GB231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项目过程指标从项目资金的资金到位率、预算执行率以及资金使用规范性、管理制度健全性等4个指标进行评价，分值20分，实际得分20分，得分率为100%。</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对于“资金到位率”，该项目20</w:t>
      </w:r>
      <w:r>
        <w:rPr>
          <w:rStyle w:val="21"/>
          <w:rFonts w:hint="eastAsia" w:ascii="仿宋" w:hAnsi="仿宋" w:eastAsia="仿宋" w:cs="仿宋"/>
          <w:b w:val="0"/>
          <w:spacing w:val="-4"/>
          <w:sz w:val="32"/>
          <w:szCs w:val="32"/>
          <w:lang w:val="en-US" w:eastAsia="zh-CN"/>
        </w:rPr>
        <w:t>20</w:t>
      </w:r>
      <w:r>
        <w:rPr>
          <w:rStyle w:val="21"/>
          <w:rFonts w:hint="eastAsia" w:ascii="仿宋" w:hAnsi="仿宋" w:eastAsia="仿宋" w:cs="仿宋"/>
          <w:b w:val="0"/>
          <w:spacing w:val="-4"/>
          <w:sz w:val="32"/>
          <w:szCs w:val="32"/>
        </w:rPr>
        <w:t>年列入预算，资金到位及时，到位率为100%。根据评分标准，该指标不扣分。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对于“预算执行率”，该项目20</w:t>
      </w:r>
      <w:r>
        <w:rPr>
          <w:rStyle w:val="21"/>
          <w:rFonts w:hint="eastAsia" w:ascii="仿宋" w:hAnsi="仿宋" w:eastAsia="仿宋" w:cs="仿宋"/>
          <w:b w:val="0"/>
          <w:spacing w:val="-4"/>
          <w:sz w:val="32"/>
          <w:szCs w:val="32"/>
          <w:lang w:val="en-US" w:eastAsia="zh-CN"/>
        </w:rPr>
        <w:t>20</w:t>
      </w:r>
      <w:r>
        <w:rPr>
          <w:rStyle w:val="21"/>
          <w:rFonts w:hint="eastAsia" w:ascii="仿宋" w:hAnsi="仿宋" w:eastAsia="仿宋" w:cs="仿宋"/>
          <w:b w:val="0"/>
          <w:spacing w:val="-4"/>
          <w:sz w:val="32"/>
          <w:szCs w:val="32"/>
        </w:rPr>
        <w:t>年度资金支付率100%。根据评分标准，该指标不扣分。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spacing w:val="-4"/>
          <w:sz w:val="32"/>
          <w:szCs w:val="32"/>
        </w:rPr>
      </w:pPr>
      <w:r>
        <w:rPr>
          <w:rStyle w:val="21"/>
          <w:rFonts w:hint="eastAsia" w:ascii="仿宋" w:hAnsi="仿宋" w:eastAsia="仿宋" w:cs="仿宋"/>
          <w:b w:val="0"/>
          <w:spacing w:val="-4"/>
          <w:sz w:val="32"/>
          <w:szCs w:val="32"/>
        </w:rPr>
        <w:t>对于“资金使用规范性”，项目资金使用严格按照局机关的财务制度执行，根据评分标准，该指标不扣分。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pPr>
      <w:r>
        <w:rPr>
          <w:rStyle w:val="21"/>
          <w:rFonts w:hint="eastAsia" w:ascii="仿宋" w:hAnsi="仿宋" w:eastAsia="仿宋" w:cs="仿宋"/>
          <w:b w:val="0"/>
          <w:spacing w:val="-4"/>
          <w:sz w:val="32"/>
          <w:szCs w:val="32"/>
        </w:rPr>
        <w:t>对于“管理制度健全性”，项目实施过程中，制定</w:t>
      </w:r>
      <w:r>
        <w:rPr>
          <w:rStyle w:val="21"/>
          <w:rFonts w:hint="eastAsia" w:ascii="仿宋" w:hAnsi="仿宋" w:eastAsia="仿宋" w:cs="仿宋"/>
          <w:b w:val="0"/>
          <w:spacing w:val="-4"/>
          <w:sz w:val="32"/>
          <w:szCs w:val="32"/>
          <w:lang w:val="en-US" w:eastAsia="zh-CN"/>
        </w:rPr>
        <w:t>了</w:t>
      </w:r>
      <w:r>
        <w:rPr>
          <w:rStyle w:val="21"/>
          <w:rFonts w:hint="eastAsia" w:ascii="仿宋" w:hAnsi="仿宋" w:eastAsia="仿宋" w:cs="仿宋"/>
          <w:b w:val="0"/>
          <w:spacing w:val="-4"/>
          <w:sz w:val="32"/>
          <w:szCs w:val="32"/>
        </w:rPr>
        <w:t>项目管理制度，根据评分标准，该指标不扣分。</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bCs/>
          <w:spacing w:val="-4"/>
          <w:sz w:val="32"/>
          <w:szCs w:val="32"/>
          <w:lang w:eastAsia="zh-CN"/>
        </w:rPr>
      </w:pPr>
      <w:r>
        <w:rPr>
          <w:rStyle w:val="21"/>
          <w:rFonts w:hint="eastAsia" w:ascii="仿宋" w:hAnsi="仿宋" w:eastAsia="仿宋" w:cs="仿宋"/>
          <w:b w:val="0"/>
          <w:spacing w:val="-4"/>
          <w:sz w:val="32"/>
          <w:szCs w:val="32"/>
        </w:rPr>
        <w:t>数量指标方面：晚会演出场次</w:t>
      </w:r>
      <w:r>
        <w:rPr>
          <w:rStyle w:val="21"/>
          <w:rFonts w:hint="eastAsia" w:ascii="仿宋" w:hAnsi="仿宋" w:eastAsia="仿宋" w:cs="仿宋"/>
          <w:b w:val="0"/>
          <w:bCs/>
          <w:spacing w:val="-4"/>
          <w:sz w:val="32"/>
          <w:szCs w:val="32"/>
          <w:lang w:eastAsia="zh-CN"/>
        </w:rPr>
        <w:t>(评价目标值：</w:t>
      </w:r>
      <w:r>
        <w:rPr>
          <w:rStyle w:val="21"/>
          <w:rFonts w:hint="eastAsia" w:ascii="仿宋" w:hAnsi="仿宋" w:eastAsia="仿宋" w:cs="仿宋"/>
          <w:b w:val="0"/>
          <w:bCs/>
          <w:spacing w:val="-4"/>
          <w:sz w:val="32"/>
          <w:szCs w:val="32"/>
          <w:lang w:val="en-US" w:eastAsia="zh-CN"/>
        </w:rPr>
        <w:t>≥2场</w:t>
      </w:r>
      <w:r>
        <w:rPr>
          <w:rStyle w:val="21"/>
          <w:rFonts w:hint="eastAsia" w:ascii="仿宋" w:hAnsi="仿宋" w:eastAsia="仿宋" w:cs="仿宋"/>
          <w:b w:val="0"/>
          <w:bCs/>
          <w:spacing w:val="-4"/>
          <w:sz w:val="32"/>
          <w:szCs w:val="32"/>
          <w:lang w:eastAsia="zh-CN"/>
        </w:rPr>
        <w:t>，</w:t>
      </w:r>
      <w:r>
        <w:rPr>
          <w:rStyle w:val="21"/>
          <w:rFonts w:hint="eastAsia" w:ascii="仿宋" w:hAnsi="仿宋" w:eastAsia="仿宋" w:cs="仿宋"/>
          <w:b w:val="0"/>
          <w:bCs/>
          <w:spacing w:val="-4"/>
          <w:sz w:val="32"/>
          <w:szCs w:val="32"/>
          <w:lang w:val="en-US" w:eastAsia="zh-CN"/>
        </w:rPr>
        <w:t>实际</w:t>
      </w:r>
      <w:r>
        <w:rPr>
          <w:rStyle w:val="21"/>
          <w:rFonts w:hint="eastAsia" w:ascii="仿宋" w:hAnsi="仿宋" w:eastAsia="仿宋" w:cs="仿宋"/>
          <w:b w:val="0"/>
          <w:bCs/>
          <w:spacing w:val="-4"/>
          <w:sz w:val="32"/>
          <w:szCs w:val="32"/>
          <w:lang w:eastAsia="zh-CN"/>
        </w:rPr>
        <w:t>完成</w:t>
      </w:r>
      <w:r>
        <w:rPr>
          <w:rStyle w:val="21"/>
          <w:rFonts w:hint="eastAsia" w:ascii="仿宋" w:hAnsi="仿宋" w:eastAsia="仿宋" w:cs="仿宋"/>
          <w:b w:val="0"/>
          <w:bCs/>
          <w:spacing w:val="-4"/>
          <w:sz w:val="32"/>
          <w:szCs w:val="32"/>
          <w:lang w:val="en-US" w:eastAsia="zh-CN"/>
        </w:rPr>
        <w:t>2场</w:t>
      </w:r>
      <w:r>
        <w:rPr>
          <w:rStyle w:val="21"/>
          <w:rFonts w:hint="eastAsia" w:ascii="仿宋" w:hAnsi="仿宋" w:eastAsia="仿宋" w:cs="仿宋"/>
          <w:b w:val="0"/>
          <w:bCs/>
          <w:spacing w:val="-4"/>
          <w:sz w:val="32"/>
          <w:szCs w:val="32"/>
          <w:lang w:eastAsia="zh-CN"/>
        </w:rPr>
        <w:t>);创新节目数量(评价目标值：</w:t>
      </w:r>
      <w:r>
        <w:rPr>
          <w:rStyle w:val="21"/>
          <w:rFonts w:hint="eastAsia" w:ascii="仿宋" w:hAnsi="仿宋" w:eastAsia="仿宋" w:cs="仿宋"/>
          <w:b w:val="0"/>
          <w:bCs/>
          <w:spacing w:val="-4"/>
          <w:sz w:val="32"/>
          <w:szCs w:val="32"/>
          <w:lang w:val="en-US" w:eastAsia="zh-CN"/>
        </w:rPr>
        <w:t>≥12个</w:t>
      </w:r>
      <w:r>
        <w:rPr>
          <w:rStyle w:val="21"/>
          <w:rFonts w:hint="eastAsia" w:ascii="仿宋" w:hAnsi="仿宋" w:eastAsia="仿宋" w:cs="仿宋"/>
          <w:b w:val="0"/>
          <w:bCs/>
          <w:spacing w:val="-4"/>
          <w:sz w:val="32"/>
          <w:szCs w:val="32"/>
          <w:lang w:eastAsia="zh-CN"/>
        </w:rPr>
        <w:t>，业绩值：</w:t>
      </w:r>
      <w:r>
        <w:rPr>
          <w:rStyle w:val="21"/>
          <w:rFonts w:hint="eastAsia" w:ascii="仿宋" w:hAnsi="仿宋" w:eastAsia="仿宋" w:cs="仿宋"/>
          <w:b w:val="0"/>
          <w:bCs/>
          <w:spacing w:val="-4"/>
          <w:sz w:val="32"/>
          <w:szCs w:val="32"/>
          <w:lang w:val="en-US" w:eastAsia="zh-CN"/>
        </w:rPr>
        <w:t>12</w:t>
      </w:r>
      <w:r>
        <w:rPr>
          <w:rStyle w:val="21"/>
          <w:rFonts w:hint="eastAsia" w:ascii="仿宋" w:hAnsi="仿宋" w:eastAsia="仿宋" w:cs="仿宋"/>
          <w:b w:val="0"/>
          <w:bCs/>
          <w:spacing w:val="-4"/>
          <w:sz w:val="32"/>
          <w:szCs w:val="32"/>
          <w:lang w:eastAsia="zh-CN"/>
        </w:rPr>
        <w:t>);晚会观看人次(评价目标值：≥2000人次，完成值：1800);</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21"/>
          <w:rFonts w:hint="eastAsia" w:ascii="仿宋" w:hAnsi="仿宋" w:eastAsia="仿宋" w:cs="仿宋"/>
          <w:b w:val="0"/>
          <w:bCs/>
          <w:spacing w:val="-4"/>
          <w:sz w:val="32"/>
          <w:szCs w:val="32"/>
          <w:lang w:eastAsia="zh-CN"/>
        </w:rPr>
      </w:pPr>
      <w:r>
        <w:rPr>
          <w:rStyle w:val="54"/>
          <w:rFonts w:hint="eastAsia" w:cs="仿宋_GB2312"/>
          <w:color w:val="auto"/>
          <w:szCs w:val="32"/>
        </w:rPr>
        <w:t>质量指标方面：</w:t>
      </w:r>
      <w:r>
        <w:rPr>
          <w:rStyle w:val="21"/>
          <w:rFonts w:hint="eastAsia" w:ascii="仿宋" w:hAnsi="仿宋" w:eastAsia="仿宋" w:cs="仿宋"/>
          <w:b w:val="0"/>
          <w:bCs/>
          <w:spacing w:val="-4"/>
          <w:sz w:val="32"/>
          <w:szCs w:val="32"/>
          <w:lang w:eastAsia="zh-CN"/>
        </w:rPr>
        <w:t>任务完成率评价目标值：=100%，业绩值：100%);</w:t>
      </w:r>
    </w:p>
    <w:p>
      <w:pPr>
        <w:pStyle w:val="17"/>
        <w:pageBreakBefore w:val="0"/>
        <w:kinsoku/>
        <w:wordWrap/>
        <w:overflowPunct/>
        <w:topLinePunct w:val="0"/>
        <w:autoSpaceDE/>
        <w:autoSpaceDN/>
        <w:bidi w:val="0"/>
        <w:adjustRightInd/>
        <w:snapToGrid/>
        <w:spacing w:before="0" w:after="0" w:line="560" w:lineRule="exact"/>
        <w:ind w:firstLine="608"/>
        <w:jc w:val="left"/>
        <w:textAlignment w:val="auto"/>
        <w:rPr>
          <w:rFonts w:hint="eastAsia"/>
          <w:lang w:eastAsia="zh-CN"/>
        </w:rPr>
      </w:pPr>
      <w:r>
        <w:rPr>
          <w:rStyle w:val="54"/>
          <w:rFonts w:hint="eastAsia" w:eastAsia="仿宋_GB2312" w:cs="仿宋_GB2312"/>
          <w:b w:val="0"/>
          <w:bCs w:val="0"/>
          <w:color w:val="auto"/>
          <w:lang w:val="en-US" w:eastAsia="zh-CN"/>
        </w:rPr>
        <w:t>时效</w:t>
      </w:r>
      <w:r>
        <w:rPr>
          <w:rStyle w:val="54"/>
          <w:rFonts w:hint="eastAsia" w:cs="仿宋_GB2312"/>
          <w:b w:val="0"/>
          <w:bCs w:val="0"/>
          <w:color w:val="auto"/>
        </w:rPr>
        <w:t>指标方面：</w:t>
      </w:r>
      <w:r>
        <w:rPr>
          <w:rStyle w:val="21"/>
          <w:rFonts w:hint="eastAsia" w:ascii="仿宋" w:hAnsi="仿宋" w:eastAsia="仿宋" w:cs="仿宋"/>
          <w:b w:val="0"/>
          <w:bCs/>
          <w:spacing w:val="-4"/>
          <w:sz w:val="32"/>
          <w:szCs w:val="32"/>
          <w:lang w:eastAsia="zh-CN"/>
        </w:rPr>
        <w:t>演出完成时限评价目标值：=100%，</w:t>
      </w:r>
      <w:r>
        <w:rPr>
          <w:rStyle w:val="21"/>
          <w:rFonts w:hint="eastAsia" w:ascii="仿宋" w:hAnsi="仿宋" w:eastAsia="仿宋" w:cs="仿宋"/>
          <w:b w:val="0"/>
          <w:bCs/>
          <w:spacing w:val="-4"/>
          <w:sz w:val="32"/>
          <w:szCs w:val="32"/>
          <w:lang w:val="en-US" w:eastAsia="zh-CN"/>
        </w:rPr>
        <w:t>2020年12月前</w:t>
      </w:r>
      <w:r>
        <w:rPr>
          <w:rStyle w:val="21"/>
          <w:rFonts w:hint="eastAsia" w:ascii="仿宋" w:hAnsi="仿宋" w:eastAsia="仿宋" w:cs="仿宋"/>
          <w:b w:val="0"/>
          <w:bCs/>
          <w:spacing w:val="-4"/>
          <w:sz w:val="32"/>
          <w:szCs w:val="32"/>
          <w:lang w:eastAsia="zh-CN"/>
        </w:rPr>
        <w:t>，业绩值：</w:t>
      </w:r>
      <w:r>
        <w:rPr>
          <w:rStyle w:val="21"/>
          <w:rFonts w:hint="eastAsia" w:ascii="仿宋" w:hAnsi="仿宋" w:eastAsia="仿宋" w:cs="仿宋"/>
          <w:b w:val="0"/>
          <w:bCs/>
          <w:spacing w:val="-4"/>
          <w:sz w:val="32"/>
          <w:szCs w:val="32"/>
          <w:lang w:val="en-US" w:eastAsia="zh-CN"/>
        </w:rPr>
        <w:t>2020年12月前</w:t>
      </w:r>
      <w:r>
        <w:rPr>
          <w:rStyle w:val="21"/>
          <w:rFonts w:hint="eastAsia" w:ascii="仿宋" w:hAnsi="仿宋" w:eastAsia="仿宋" w:cs="仿宋"/>
          <w:b w:val="0"/>
          <w:bCs/>
          <w:spacing w:val="-4"/>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54"/>
          <w:rFonts w:hint="default" w:cs="仿宋_GB2312"/>
          <w:b w:val="0"/>
          <w:bCs w:val="0"/>
          <w:color w:val="auto"/>
          <w:lang w:val="en-US"/>
        </w:rPr>
      </w:pPr>
      <w:r>
        <w:rPr>
          <w:rStyle w:val="54"/>
          <w:rFonts w:hint="eastAsia" w:eastAsia="仿宋_GB2312" w:cs="仿宋_GB2312"/>
          <w:b w:val="0"/>
          <w:bCs w:val="0"/>
          <w:color w:val="auto"/>
          <w:lang w:val="en-US" w:eastAsia="zh-CN"/>
        </w:rPr>
        <w:t>成本</w:t>
      </w:r>
      <w:r>
        <w:rPr>
          <w:rStyle w:val="54"/>
          <w:rFonts w:hint="eastAsia" w:cs="仿宋_GB2312"/>
          <w:b w:val="0"/>
          <w:bCs w:val="0"/>
          <w:color w:val="auto"/>
        </w:rPr>
        <w:t>指标方面：晚会资金执行情况</w:t>
      </w:r>
      <w:r>
        <w:rPr>
          <w:rStyle w:val="54"/>
          <w:rFonts w:hint="eastAsia" w:eastAsia="仿宋_GB2312" w:cs="仿宋_GB2312"/>
          <w:b w:val="0"/>
          <w:bCs w:val="0"/>
          <w:color w:val="auto"/>
          <w:lang w:eastAsia="zh-CN"/>
        </w:rPr>
        <w:t>（</w:t>
      </w:r>
      <w:r>
        <w:rPr>
          <w:rStyle w:val="21"/>
          <w:rFonts w:hint="eastAsia" w:ascii="仿宋" w:hAnsi="仿宋" w:eastAsia="仿宋" w:cs="仿宋"/>
          <w:b w:val="0"/>
          <w:bCs/>
          <w:spacing w:val="-4"/>
          <w:sz w:val="32"/>
          <w:szCs w:val="32"/>
          <w:lang w:eastAsia="zh-CN"/>
        </w:rPr>
        <w:t>评价目标值：</w:t>
      </w:r>
      <w:r>
        <w:rPr>
          <w:rStyle w:val="54"/>
          <w:rFonts w:hint="eastAsia" w:cs="仿宋_GB2312"/>
          <w:b w:val="0"/>
          <w:bCs w:val="0"/>
          <w:color w:val="auto"/>
        </w:rPr>
        <w:t>≤45万</w:t>
      </w:r>
      <w:r>
        <w:rPr>
          <w:rStyle w:val="54"/>
          <w:rFonts w:hint="eastAsia" w:eastAsia="仿宋_GB2312" w:cs="仿宋_GB2312"/>
          <w:b w:val="0"/>
          <w:bCs w:val="0"/>
          <w:color w:val="auto"/>
          <w:lang w:eastAsia="zh-CN"/>
        </w:rPr>
        <w:t>，</w:t>
      </w:r>
      <w:r>
        <w:rPr>
          <w:rStyle w:val="21"/>
          <w:rFonts w:hint="eastAsia" w:ascii="仿宋" w:hAnsi="仿宋" w:eastAsia="仿宋" w:cs="仿宋"/>
          <w:b w:val="0"/>
          <w:bCs/>
          <w:spacing w:val="-4"/>
          <w:sz w:val="32"/>
          <w:szCs w:val="32"/>
          <w:lang w:eastAsia="zh-CN"/>
        </w:rPr>
        <w:t>业绩值</w:t>
      </w:r>
      <w:r>
        <w:rPr>
          <w:rStyle w:val="21"/>
          <w:rFonts w:hint="eastAsia" w:ascii="仿宋" w:hAnsi="仿宋" w:eastAsia="仿宋" w:cs="仿宋"/>
          <w:b w:val="0"/>
          <w:bCs/>
          <w:spacing w:val="-4"/>
          <w:sz w:val="32"/>
          <w:szCs w:val="32"/>
          <w:lang w:val="en-US" w:eastAsia="zh-CN"/>
        </w:rPr>
        <w:t>45万）</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Style w:val="54"/>
          <w:rFonts w:hint="eastAsia" w:ascii="楷体" w:hAnsi="楷体" w:eastAsia="楷体" w:cs="楷体"/>
          <w:b/>
          <w:bCs/>
          <w:color w:val="auto"/>
          <w:szCs w:val="22"/>
        </w:rPr>
      </w:pPr>
      <w:r>
        <w:rPr>
          <w:rFonts w:hint="eastAsia" w:ascii="楷体" w:hAnsi="楷体" w:eastAsia="楷体" w:cs="楷体"/>
          <w:b/>
          <w:bCs/>
          <w:sz w:val="32"/>
          <w:szCs w:val="32"/>
          <w:lang w:val="en-US" w:eastAsia="zh-CN"/>
        </w:rPr>
        <w:t>项目效益情</w:t>
      </w:r>
      <w:r>
        <w:rPr>
          <w:rFonts w:hint="eastAsia" w:ascii="楷体" w:hAnsi="楷体" w:eastAsia="楷体" w:cs="楷体"/>
          <w:b/>
          <w:bCs/>
          <w:sz w:val="32"/>
          <w:szCs w:val="32"/>
        </w:rPr>
        <w:t>况</w:t>
      </w:r>
    </w:p>
    <w:p>
      <w:pPr>
        <w:pStyle w:val="17"/>
        <w:pageBreakBefore w:val="0"/>
        <w:kinsoku/>
        <w:wordWrap/>
        <w:overflowPunct/>
        <w:topLinePunct w:val="0"/>
        <w:autoSpaceDE/>
        <w:autoSpaceDN/>
        <w:bidi w:val="0"/>
        <w:adjustRightInd/>
        <w:snapToGrid/>
        <w:spacing w:before="0" w:after="0" w:line="560" w:lineRule="exact"/>
        <w:ind w:firstLine="320" w:firstLineChars="100"/>
        <w:jc w:val="both"/>
        <w:textAlignment w:val="auto"/>
        <w:rPr>
          <w:rStyle w:val="54"/>
          <w:rFonts w:hint="eastAsia" w:cs="仿宋_GB2312"/>
          <w:b w:val="0"/>
          <w:bCs w:val="0"/>
          <w:color w:val="auto"/>
          <w:szCs w:val="22"/>
          <w:lang w:eastAsia="zh-CN"/>
        </w:rPr>
      </w:pPr>
      <w:r>
        <w:rPr>
          <w:rStyle w:val="54"/>
          <w:rFonts w:hint="eastAsia" w:eastAsia="仿宋_GB2312" w:cs="仿宋_GB2312"/>
          <w:b w:val="0"/>
          <w:bCs w:val="0"/>
          <w:color w:val="auto"/>
          <w:szCs w:val="22"/>
          <w:lang w:val="en-US" w:eastAsia="zh-CN"/>
        </w:rPr>
        <w:t>社会</w:t>
      </w:r>
      <w:r>
        <w:rPr>
          <w:rStyle w:val="54"/>
          <w:rFonts w:hint="eastAsia" w:cs="仿宋_GB2312"/>
          <w:b w:val="0"/>
          <w:bCs w:val="0"/>
          <w:color w:val="auto"/>
          <w:szCs w:val="22"/>
        </w:rPr>
        <w:t>效益情况</w:t>
      </w:r>
      <w:r>
        <w:rPr>
          <w:rStyle w:val="54"/>
          <w:rFonts w:hint="eastAsia" w:eastAsia="仿宋_GB2312" w:cs="仿宋_GB2312"/>
          <w:b w:val="0"/>
          <w:bCs w:val="0"/>
          <w:color w:val="auto"/>
          <w:szCs w:val="22"/>
          <w:lang w:eastAsia="zh-CN"/>
        </w:rPr>
        <w:t>：不断提升观众的精神文化水平</w:t>
      </w:r>
      <w:r>
        <w:rPr>
          <w:rStyle w:val="54"/>
          <w:rFonts w:hint="eastAsia"/>
          <w:color w:val="auto"/>
          <w:lang w:eastAsia="zh-CN"/>
        </w:rPr>
        <w:t>(</w:t>
      </w:r>
      <w:r>
        <w:rPr>
          <w:rStyle w:val="54"/>
          <w:rFonts w:hint="eastAsia" w:cs="仿宋_GB2312"/>
          <w:b w:val="0"/>
          <w:bCs w:val="0"/>
          <w:color w:val="auto"/>
          <w:szCs w:val="22"/>
          <w:lang w:eastAsia="zh-CN"/>
        </w:rPr>
        <w:t>评价目标值：有所提升，业绩值：有所提升)</w:t>
      </w:r>
    </w:p>
    <w:p>
      <w:pPr>
        <w:pStyle w:val="17"/>
        <w:pageBreakBefore w:val="0"/>
        <w:kinsoku/>
        <w:wordWrap/>
        <w:overflowPunct/>
        <w:topLinePunct w:val="0"/>
        <w:autoSpaceDE/>
        <w:autoSpaceDN/>
        <w:bidi w:val="0"/>
        <w:adjustRightInd/>
        <w:snapToGrid/>
        <w:spacing w:before="0" w:after="0" w:line="560" w:lineRule="exact"/>
        <w:ind w:firstLine="320" w:firstLineChars="100"/>
        <w:jc w:val="both"/>
        <w:textAlignment w:val="auto"/>
        <w:rPr>
          <w:rFonts w:hint="eastAsia" w:eastAsia="仿宋_GB2312"/>
          <w:lang w:eastAsia="zh-CN"/>
        </w:rPr>
      </w:pPr>
      <w:r>
        <w:rPr>
          <w:rStyle w:val="54"/>
          <w:rFonts w:hint="eastAsia" w:eastAsia="仿宋_GB2312" w:cs="仿宋_GB2312"/>
          <w:b w:val="0"/>
          <w:bCs w:val="0"/>
          <w:color w:val="auto"/>
          <w:szCs w:val="22"/>
          <w:lang w:val="en-US" w:eastAsia="zh-CN"/>
        </w:rPr>
        <w:t>可持续影响</w:t>
      </w:r>
      <w:r>
        <w:rPr>
          <w:rStyle w:val="54"/>
          <w:rFonts w:hint="eastAsia" w:cs="仿宋_GB2312"/>
          <w:b w:val="0"/>
          <w:bCs w:val="0"/>
          <w:color w:val="auto"/>
          <w:szCs w:val="22"/>
        </w:rPr>
        <w:t>效益情况</w:t>
      </w:r>
      <w:r>
        <w:rPr>
          <w:rStyle w:val="54"/>
          <w:rFonts w:hint="eastAsia" w:eastAsia="仿宋_GB2312" w:cs="仿宋_GB2312"/>
          <w:b w:val="0"/>
          <w:bCs w:val="0"/>
          <w:color w:val="auto"/>
          <w:szCs w:val="22"/>
          <w:lang w:eastAsia="zh-CN"/>
        </w:rPr>
        <w:t>：</w:t>
      </w:r>
      <w:r>
        <w:rPr>
          <w:rStyle w:val="54"/>
          <w:rFonts w:hint="eastAsia" w:eastAsia="仿宋_GB2312" w:cs="仿宋_GB2312"/>
          <w:b w:val="0"/>
          <w:bCs w:val="0"/>
          <w:color w:val="auto"/>
          <w:szCs w:val="22"/>
          <w:lang w:val="en-US" w:eastAsia="zh-CN"/>
        </w:rPr>
        <w:t>持续满足群众对</w:t>
      </w:r>
      <w:bookmarkStart w:id="2" w:name="_GoBack"/>
      <w:bookmarkEnd w:id="2"/>
      <w:r>
        <w:rPr>
          <w:rStyle w:val="54"/>
          <w:rFonts w:hint="eastAsia" w:eastAsia="仿宋_GB2312" w:cs="仿宋_GB2312"/>
          <w:b w:val="0"/>
          <w:bCs w:val="0"/>
          <w:color w:val="auto"/>
          <w:szCs w:val="22"/>
          <w:lang w:val="en-US" w:eastAsia="zh-CN"/>
        </w:rPr>
        <w:t>精神文化的需求</w:t>
      </w:r>
      <w:r>
        <w:rPr>
          <w:rStyle w:val="54"/>
          <w:rFonts w:hint="eastAsia" w:eastAsia="仿宋_GB2312" w:cs="仿宋_GB2312"/>
          <w:b w:val="0"/>
          <w:bCs w:val="0"/>
          <w:color w:val="auto"/>
          <w:szCs w:val="22"/>
          <w:lang w:eastAsia="zh-CN"/>
        </w:rPr>
        <w:t>(</w:t>
      </w:r>
      <w:r>
        <w:rPr>
          <w:rStyle w:val="54"/>
          <w:rFonts w:hint="eastAsia" w:cs="仿宋_GB2312"/>
          <w:b w:val="0"/>
          <w:bCs w:val="0"/>
          <w:color w:val="auto"/>
          <w:szCs w:val="22"/>
          <w:lang w:eastAsia="zh-CN"/>
        </w:rPr>
        <w:t>评价目标值：</w:t>
      </w:r>
      <w:r>
        <w:rPr>
          <w:rStyle w:val="54"/>
          <w:rFonts w:hint="eastAsia" w:eastAsia="仿宋_GB2312" w:cs="仿宋_GB2312"/>
          <w:b w:val="0"/>
          <w:bCs w:val="0"/>
          <w:color w:val="auto"/>
          <w:szCs w:val="22"/>
          <w:lang w:val="en-US" w:eastAsia="zh-CN"/>
        </w:rPr>
        <w:t>持续满足</w:t>
      </w:r>
      <w:r>
        <w:rPr>
          <w:rStyle w:val="54"/>
          <w:rFonts w:hint="eastAsia" w:cs="仿宋_GB2312"/>
          <w:b w:val="0"/>
          <w:bCs w:val="0"/>
          <w:color w:val="auto"/>
          <w:szCs w:val="22"/>
          <w:lang w:eastAsia="zh-CN"/>
        </w:rPr>
        <w:t>，业绩值：</w:t>
      </w:r>
      <w:r>
        <w:rPr>
          <w:rStyle w:val="54"/>
          <w:rFonts w:hint="eastAsia" w:eastAsia="仿宋_GB2312" w:cs="仿宋_GB2312"/>
          <w:b w:val="0"/>
          <w:bCs w:val="0"/>
          <w:color w:val="auto"/>
          <w:szCs w:val="22"/>
          <w:lang w:val="en-US" w:eastAsia="zh-CN"/>
        </w:rPr>
        <w:t>持续满足</w:t>
      </w:r>
      <w:r>
        <w:rPr>
          <w:rStyle w:val="54"/>
          <w:rFonts w:hint="eastAsia" w:cs="仿宋_GB2312"/>
          <w:b w:val="0"/>
          <w:bCs w:val="0"/>
          <w:color w:val="auto"/>
          <w:szCs w:val="22"/>
          <w:lang w:eastAsia="zh-CN"/>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满意度</w:t>
      </w:r>
      <w:r>
        <w:rPr>
          <w:rStyle w:val="54"/>
          <w:rFonts w:hint="eastAsia" w:eastAsia="仿宋_GB2312" w:cs="仿宋_GB2312"/>
          <w:b w:val="0"/>
          <w:bCs w:val="0"/>
          <w:color w:val="auto"/>
          <w:lang w:val="en-US" w:eastAsia="zh-CN"/>
        </w:rPr>
        <w:t>效益</w:t>
      </w:r>
      <w:r>
        <w:rPr>
          <w:rStyle w:val="54"/>
          <w:rFonts w:hint="eastAsia" w:cs="仿宋_GB2312"/>
          <w:b w:val="0"/>
          <w:bCs w:val="0"/>
          <w:color w:val="auto"/>
        </w:rPr>
        <w:t>指标方面：</w:t>
      </w:r>
      <w:r>
        <w:rPr>
          <w:rFonts w:hint="eastAsia" w:ascii="仿宋_GB2312" w:hAnsi="仿宋_GB2312" w:eastAsia="仿宋_GB2312" w:cs="仿宋_GB2312"/>
          <w:sz w:val="32"/>
          <w:szCs w:val="32"/>
          <w:lang w:val="en-US" w:eastAsia="zh-CN"/>
        </w:rPr>
        <w:t>服务对象满意度指标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观众满意度</w:t>
      </w:r>
      <w:r>
        <w:rPr>
          <w:rFonts w:hint="eastAsia" w:ascii="仿宋_GB2312" w:hAnsi="仿宋_GB2312" w:eastAsia="仿宋_GB2312" w:cs="仿宋_GB2312"/>
          <w:sz w:val="32"/>
          <w:szCs w:val="32"/>
          <w:lang w:eastAsia="zh-CN"/>
        </w:rPr>
        <w:t>评价目标值：≥95%，业绩值：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560" w:lineRule="exact"/>
        <w:textAlignment w:val="auto"/>
        <w:rPr>
          <w:rFonts w:hint="eastAsia"/>
          <w:lang w:eastAsia="zh-CN"/>
        </w:rPr>
      </w:pPr>
    </w:p>
    <w:p>
      <w:pPr>
        <w:pageBreakBefore w:val="0"/>
        <w:kinsoku/>
        <w:wordWrap/>
        <w:overflowPunct/>
        <w:topLinePunct w:val="0"/>
        <w:autoSpaceDE/>
        <w:autoSpaceDN/>
        <w:bidi w:val="0"/>
        <w:adjustRightInd/>
        <w:snapToGrid/>
        <w:spacing w:line="560" w:lineRule="exact"/>
        <w:textAlignment w:val="auto"/>
        <w:rPr>
          <w:rStyle w:val="54"/>
          <w:rFonts w:cs="仿宋_GB2312"/>
          <w:b/>
          <w:bCs/>
          <w:color w:val="auto"/>
          <w:szCs w:val="32"/>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7"/>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17"/>
        <w:pageBreakBefore w:val="0"/>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hAnsi="仿宋_GB2312" w:eastAsia="仿宋_GB2312" w:cs="仿宋_GB2312"/>
          <w:b/>
          <w:bCs/>
          <w:kern w:val="2"/>
        </w:rPr>
      </w:pPr>
      <w:r>
        <w:rPr>
          <w:rFonts w:ascii="仿宋_GB2312" w:hAnsi="仿宋_GB2312" w:eastAsia="仿宋_GB2312" w:cs="仿宋_GB2312"/>
          <w:b/>
          <w:bCs/>
          <w:kern w:val="2"/>
        </w:rPr>
        <w:t>1</w:t>
      </w:r>
      <w:r>
        <w:rPr>
          <w:rFonts w:hint="eastAsia" w:ascii="仿宋_GB2312" w:hAnsi="仿宋_GB2312" w:eastAsia="仿宋_GB2312" w:cs="仿宋_GB2312"/>
          <w:b/>
          <w:bCs/>
          <w:kern w:val="2"/>
        </w:rPr>
        <w:t>、存在的问题</w:t>
      </w:r>
    </w:p>
    <w:p>
      <w:pPr>
        <w:pStyle w:val="17"/>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lang w:eastAsia="zh-CN"/>
        </w:rPr>
        <w:t>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pPr>
        <w:pageBreakBefore w:val="0"/>
        <w:kinsoku/>
        <w:wordWrap/>
        <w:overflowPunct/>
        <w:topLinePunct w:val="0"/>
        <w:autoSpaceDE/>
        <w:autoSpaceDN/>
        <w:bidi w:val="0"/>
        <w:adjustRightInd/>
        <w:snapToGrid/>
        <w:spacing w:line="560" w:lineRule="exact"/>
        <w:ind w:firstLine="321" w:firstLineChars="100"/>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、原因分析</w:t>
      </w:r>
    </w:p>
    <w:p>
      <w:pPr>
        <w:pStyle w:val="17"/>
        <w:pageBreakBefore w:val="0"/>
        <w:kinsoku/>
        <w:wordWrap/>
        <w:overflowPunct/>
        <w:topLinePunct w:val="0"/>
        <w:autoSpaceDE/>
        <w:autoSpaceDN/>
        <w:bidi w:val="0"/>
        <w:adjustRightInd/>
        <w:snapToGrid/>
        <w:spacing w:before="0" w:after="0" w:line="560" w:lineRule="exact"/>
        <w:ind w:firstLine="640" w:firstLineChars="200"/>
        <w:jc w:val="left"/>
        <w:textAlignment w:val="auto"/>
      </w:pPr>
      <w:r>
        <w:rPr>
          <w:rFonts w:hint="eastAsia" w:ascii="仿宋_GB2312" w:hAnsi="仿宋_GB2312" w:eastAsia="仿宋_GB2312" w:cs="仿宋_GB2312"/>
          <w:b w:val="0"/>
          <w:bCs w:val="0"/>
          <w:kern w:val="2"/>
          <w:lang w:eastAsia="zh-CN"/>
        </w:rPr>
        <w:t>坚持专款专用的原则，严格财务管理，确保经费管理各个环节的畅通、有序、高效，合理预算、决算制度。有计划地使用资金，确保项目资金能达到预期效果。严格使用程序。每一笔支出由领导进行审批，确保资金在使用程序上严谨，确保每一笔资金的支付公开透明，充分接受监督。</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ascii="仿宋_GB2312" w:hAnsi="仿宋_GB2312" w:eastAsia="仿宋_GB2312" w:cs="仿宋_GB2312"/>
          <w:sz w:val="32"/>
          <w:szCs w:val="32"/>
        </w:rPr>
        <w:t xml:space="preserve"> </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17"/>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无。</w:t>
      </w:r>
    </w:p>
    <w:p>
      <w:pPr>
        <w:pageBreakBefore w:val="0"/>
        <w:kinsoku/>
        <w:wordWrap/>
        <w:overflowPunct/>
        <w:topLinePunct w:val="0"/>
        <w:autoSpaceDE/>
        <w:autoSpaceDN/>
        <w:bidi w:val="0"/>
        <w:adjustRightInd/>
        <w:snapToGrid/>
        <w:spacing w:line="560" w:lineRule="exact"/>
        <w:textAlignment w:val="auto"/>
        <w:rPr>
          <w:rFonts w:ascii="黑体" w:hAnsi="黑体" w:eastAsia="黑体"/>
          <w:sz w:val="32"/>
          <w:szCs w:val="32"/>
        </w:rPr>
      </w:pPr>
    </w:p>
    <w:p>
      <w:pPr>
        <w:pStyle w:val="17"/>
        <w:pageBreakBefore w:val="0"/>
        <w:kinsoku/>
        <w:wordWrap/>
        <w:overflowPunct/>
        <w:topLinePunct w:val="0"/>
        <w:autoSpaceDE/>
        <w:autoSpaceDN/>
        <w:bidi w:val="0"/>
        <w:adjustRightInd/>
        <w:snapToGrid/>
        <w:spacing w:before="0" w:after="0" w:line="560" w:lineRule="exact"/>
        <w:textAlignment w:val="auto"/>
      </w:pPr>
    </w:p>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19"/>
        <w:tblW w:w="8430" w:type="dxa"/>
        <w:tblInd w:w="0" w:type="dxa"/>
        <w:shd w:val="clear" w:color="auto" w:fill="auto"/>
        <w:tblLayout w:type="fixed"/>
        <w:tblCellMar>
          <w:top w:w="0" w:type="dxa"/>
          <w:left w:w="0" w:type="dxa"/>
          <w:bottom w:w="0" w:type="dxa"/>
          <w:right w:w="0" w:type="dxa"/>
        </w:tblCellMar>
      </w:tblPr>
      <w:tblGrid>
        <w:gridCol w:w="648"/>
        <w:gridCol w:w="648"/>
        <w:gridCol w:w="648"/>
        <w:gridCol w:w="648"/>
        <w:gridCol w:w="648"/>
        <w:gridCol w:w="648"/>
        <w:gridCol w:w="1868"/>
        <w:gridCol w:w="1146"/>
        <w:gridCol w:w="382"/>
        <w:gridCol w:w="1146"/>
      </w:tblGrid>
      <w:tr>
        <w:tblPrEx>
          <w:shd w:val="clear" w:color="auto" w:fill="auto"/>
          <w:tblCellMar>
            <w:top w:w="0" w:type="dxa"/>
            <w:left w:w="0" w:type="dxa"/>
            <w:bottom w:w="0" w:type="dxa"/>
            <w:right w:w="0" w:type="dxa"/>
          </w:tblCellMar>
        </w:tblPrEx>
        <w:trPr>
          <w:trHeight w:val="409" w:hRule="atLeast"/>
        </w:trPr>
        <w:tc>
          <w:tcPr>
            <w:tcW w:w="843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tblCellMar>
            <w:top w:w="0" w:type="dxa"/>
            <w:left w:w="0" w:type="dxa"/>
            <w:bottom w:w="0" w:type="dxa"/>
            <w:right w:w="0" w:type="dxa"/>
          </w:tblCellMar>
        </w:tblPrEx>
        <w:trPr>
          <w:trHeight w:val="409" w:hRule="atLeast"/>
        </w:trPr>
        <w:tc>
          <w:tcPr>
            <w:tcW w:w="843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0" w:type="dxa"/>
            <w:bottom w:w="0" w:type="dxa"/>
            <w:right w:w="0" w:type="dxa"/>
          </w:tblCellMar>
        </w:tblPrEx>
        <w:trPr>
          <w:trHeight w:val="270" w:hRule="atLeast"/>
        </w:trPr>
        <w:tc>
          <w:tcPr>
            <w:tcW w:w="8430"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13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2020年三节晚会经费</w:t>
            </w:r>
          </w:p>
        </w:tc>
      </w:tr>
      <w:tr>
        <w:tblPrEx>
          <w:shd w:val="clear" w:color="auto" w:fill="auto"/>
          <w:tblCellMar>
            <w:top w:w="0" w:type="dxa"/>
            <w:left w:w="0" w:type="dxa"/>
            <w:bottom w:w="0" w:type="dxa"/>
            <w:right w:w="0" w:type="dxa"/>
          </w:tblCellMar>
        </w:tblPrEx>
        <w:trPr>
          <w:trHeight w:val="270" w:hRule="atLeast"/>
        </w:trPr>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4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塔城地区歌舞团</w:t>
            </w:r>
          </w:p>
        </w:tc>
      </w:tr>
      <w:tr>
        <w:tblPrEx>
          <w:tblCellMar>
            <w:top w:w="0" w:type="dxa"/>
            <w:left w:w="0" w:type="dxa"/>
            <w:bottom w:w="0" w:type="dxa"/>
            <w:right w:w="0" w:type="dxa"/>
          </w:tblCellMar>
        </w:tblPrEx>
        <w:trPr>
          <w:trHeight w:val="392" w:hRule="atLeast"/>
        </w:trPr>
        <w:tc>
          <w:tcPr>
            <w:tcW w:w="1296" w:type="dxa"/>
            <w:gridSpan w:val="2"/>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5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0" w:type="dxa"/>
            <w:bottom w:w="0" w:type="dxa"/>
            <w:right w:w="0" w:type="dxa"/>
          </w:tblCellMar>
        </w:tblPrEx>
        <w:trPr>
          <w:trHeight w:val="270" w:hRule="atLeast"/>
        </w:trPr>
        <w:tc>
          <w:tcPr>
            <w:tcW w:w="1296" w:type="dxa"/>
            <w:gridSpan w:val="2"/>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45</w:t>
            </w:r>
          </w:p>
        </w:tc>
        <w:tc>
          <w:tcPr>
            <w:tcW w:w="25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392" w:hRule="atLeast"/>
        </w:trPr>
        <w:tc>
          <w:tcPr>
            <w:tcW w:w="1296"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45.00</w:t>
            </w:r>
          </w:p>
        </w:tc>
        <w:tc>
          <w:tcPr>
            <w:tcW w:w="25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33" w:hRule="atLeast"/>
        </w:trPr>
        <w:tc>
          <w:tcPr>
            <w:tcW w:w="1296"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c>
          <w:tcPr>
            <w:tcW w:w="25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270" w:hRule="atLeast"/>
        </w:trPr>
        <w:tc>
          <w:tcPr>
            <w:tcW w:w="1296"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5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33"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10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6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0" w:type="dxa"/>
            <w:bottom w:w="0" w:type="dxa"/>
            <w:right w:w="0" w:type="dxa"/>
          </w:tblCellMar>
        </w:tblPrEx>
        <w:trPr>
          <w:trHeight w:val="1036"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10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1.承办塔城地区三节大型文艺晚会演出。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2.编排表现出时代精神的代表性文艺节目，发挥精品创作能力，推介优秀的传统文艺节目，结合实际搞好创新工作。</w:t>
            </w:r>
          </w:p>
        </w:tc>
        <w:tc>
          <w:tcPr>
            <w:tcW w:w="26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1.承办塔城地区三节大型文艺晚会演出。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2.编排表现出时代精神的代表性文艺节目，发挥精品创作能力，推介优秀的传统文艺节目，结合实际搞好创新工作。</w:t>
            </w:r>
          </w:p>
        </w:tc>
      </w:tr>
      <w:tr>
        <w:tblPrEx>
          <w:tblCellMar>
            <w:top w:w="0" w:type="dxa"/>
            <w:left w:w="0" w:type="dxa"/>
            <w:bottom w:w="0" w:type="dxa"/>
            <w:right w:w="0" w:type="dxa"/>
          </w:tblCellMar>
        </w:tblPrEx>
        <w:trPr>
          <w:trHeight w:val="412"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922"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晚会演出场次</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≥2场</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2场</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93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创新节目数量</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12个</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84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晚会观看人次</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≥2000人次</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2000人</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104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任务完成率</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96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演出完成时限</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2020年12月前</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2020年12月前</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112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晚会资金执行情况</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≤45万</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45万</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84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不断提升观众的精神文化水平</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100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可持续影响指标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持续满足群众对精神文化的需求</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持续满足</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100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服务对象满意度指标</w:t>
            </w:r>
          </w:p>
        </w:tc>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观众对晚会演出满意度</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≥95%</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pPr>
          </w:p>
        </w:tc>
      </w:tr>
      <w:tr>
        <w:tblPrEx>
          <w:tblCellMar>
            <w:top w:w="0" w:type="dxa"/>
            <w:left w:w="0" w:type="dxa"/>
            <w:bottom w:w="0" w:type="dxa"/>
            <w:right w:w="0" w:type="dxa"/>
          </w:tblCellMar>
        </w:tblPrEx>
        <w:trPr>
          <w:trHeight w:val="1124" w:hRule="atLeast"/>
        </w:trPr>
        <w:tc>
          <w:tcPr>
            <w:tcW w:w="843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32"/>
                <w:szCs w:val="32"/>
                <w:u w:val="none"/>
                <w:lang w:val="en-US" w:eastAsia="zh-CN" w:bidi="ar"/>
              </w:rPr>
              <w:t>项目支出绩效自评表</w:t>
            </w:r>
          </w:p>
        </w:tc>
      </w:tr>
    </w:tbl>
    <w:p>
      <w:pPr>
        <w:rPr>
          <w:rFonts w:ascii="黑体" w:hAnsi="黑体" w:eastAsia="黑体"/>
          <w:sz w:val="32"/>
          <w:szCs w:val="32"/>
        </w:rPr>
      </w:pPr>
    </w:p>
    <w:p>
      <w:pPr>
        <w:pStyle w:val="17"/>
        <w:jc w:val="both"/>
        <w:sectPr>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w:t>
      </w:r>
      <w:r>
        <w:rPr>
          <w:rFonts w:ascii="仿宋_GB2312"/>
          <w:bCs/>
          <w:sz w:val="32"/>
          <w:szCs w:val="32"/>
        </w:rPr>
        <w:t>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vAlign w:val="center"/>
          </w:tcPr>
          <w:p>
            <w:pPr>
              <w:widowControl/>
              <w:spacing w:line="240" w:lineRule="atLeast"/>
              <w:jc w:val="center"/>
              <w:rPr>
                <w:rFonts w:asci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36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363"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bl>
    <w:p>
      <w:pPr>
        <w:pStyle w:val="17"/>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Style w:val="21"/>
          <w:rFonts w:hint="eastAsia" w:ascii="宋体" w:hAnsi="宋体" w:eastAsia="宋体" w:cs="宋体"/>
          <w:b w:val="0"/>
          <w:spacing w:val="-4"/>
          <w:sz w:val="18"/>
          <w:szCs w:val="1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2</w:t>
    </w:r>
    <w:r>
      <w:rPr>
        <w:lang w:val="zh-CN"/>
      </w:rP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cs="Times New Roman"/>
      </w:rPr>
    </w:lvl>
  </w:abstractNum>
  <w:abstractNum w:abstractNumId="1">
    <w:nsid w:val="DEF60FE1"/>
    <w:multiLevelType w:val="singleLevel"/>
    <w:tmpl w:val="DEF60FE1"/>
    <w:lvl w:ilvl="0" w:tentative="0">
      <w:start w:val="1"/>
      <w:numFmt w:val="decimal"/>
      <w:suff w:val="nothing"/>
      <w:lvlText w:val="（%1）"/>
      <w:lvlJc w:val="left"/>
      <w:rPr>
        <w:rFonts w:cs="Times New Roman"/>
      </w:rPr>
    </w:lvl>
  </w:abstractNum>
  <w:abstractNum w:abstractNumId="2">
    <w:nsid w:val="FF4BB6DE"/>
    <w:multiLevelType w:val="singleLevel"/>
    <w:tmpl w:val="FF4BB6DE"/>
    <w:lvl w:ilvl="0" w:tentative="0">
      <w:start w:val="1"/>
      <w:numFmt w:val="decimal"/>
      <w:suff w:val="nothing"/>
      <w:lvlText w:val="%1、"/>
      <w:lvlJc w:val="left"/>
      <w:rPr>
        <w:rFonts w:cs="Times New Roman"/>
      </w:rPr>
    </w:lvl>
  </w:abstractNum>
  <w:abstractNum w:abstractNumId="3">
    <w:nsid w:val="FF9379A8"/>
    <w:multiLevelType w:val="singleLevel"/>
    <w:tmpl w:val="FF9379A8"/>
    <w:lvl w:ilvl="0" w:tentative="0">
      <w:start w:val="2"/>
      <w:numFmt w:val="chineseCounting"/>
      <w:suff w:val="nothing"/>
      <w:lvlText w:val="（%1）"/>
      <w:lvlJc w:val="left"/>
      <w:rPr>
        <w:rFonts w:hint="eastAsia" w:cs="Times New Roman"/>
      </w:rPr>
    </w:lvl>
  </w:abstractNum>
  <w:abstractNum w:abstractNumId="4">
    <w:nsid w:val="116B29BF"/>
    <w:multiLevelType w:val="singleLevel"/>
    <w:tmpl w:val="116B29BF"/>
    <w:lvl w:ilvl="0" w:tentative="0">
      <w:start w:val="3"/>
      <w:numFmt w:val="chineseCounting"/>
      <w:suff w:val="nothing"/>
      <w:lvlText w:val="%1、"/>
      <w:lvlJc w:val="left"/>
      <w:rPr>
        <w:rFonts w:hint="eastAsia" w:cs="Times New Roman"/>
      </w:rPr>
    </w:lvl>
  </w:abstractNum>
  <w:abstractNum w:abstractNumId="5">
    <w:nsid w:val="6FAA0AB1"/>
    <w:multiLevelType w:val="singleLevel"/>
    <w:tmpl w:val="6FAA0AB1"/>
    <w:lvl w:ilvl="0" w:tentative="0">
      <w:start w:val="2"/>
      <w:numFmt w:val="chineseCounting"/>
      <w:suff w:val="nothing"/>
      <w:lvlText w:val="（%1）"/>
      <w:lvlJc w:val="left"/>
      <w:rPr>
        <w:rFonts w:hint="eastAsia" w:cs="Times New Roman"/>
      </w:r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E50F0"/>
    <w:rsid w:val="000E586C"/>
    <w:rsid w:val="00121AE4"/>
    <w:rsid w:val="00146AAD"/>
    <w:rsid w:val="001B3A40"/>
    <w:rsid w:val="003C18BC"/>
    <w:rsid w:val="004366A8"/>
    <w:rsid w:val="00464900"/>
    <w:rsid w:val="004C326F"/>
    <w:rsid w:val="004F34E8"/>
    <w:rsid w:val="00502BA7"/>
    <w:rsid w:val="005162F1"/>
    <w:rsid w:val="00535153"/>
    <w:rsid w:val="00554F82"/>
    <w:rsid w:val="0056390D"/>
    <w:rsid w:val="005719B0"/>
    <w:rsid w:val="005D10D6"/>
    <w:rsid w:val="006524CB"/>
    <w:rsid w:val="007806A5"/>
    <w:rsid w:val="007B6E1D"/>
    <w:rsid w:val="007E7E75"/>
    <w:rsid w:val="00855E3A"/>
    <w:rsid w:val="008A6F9E"/>
    <w:rsid w:val="00922CB9"/>
    <w:rsid w:val="009E5CD9"/>
    <w:rsid w:val="00A26421"/>
    <w:rsid w:val="00A4293B"/>
    <w:rsid w:val="00A67D50"/>
    <w:rsid w:val="00A8691A"/>
    <w:rsid w:val="00A92530"/>
    <w:rsid w:val="00AC1946"/>
    <w:rsid w:val="00B36B67"/>
    <w:rsid w:val="00B40063"/>
    <w:rsid w:val="00B41F61"/>
    <w:rsid w:val="00BA46E6"/>
    <w:rsid w:val="00C56C72"/>
    <w:rsid w:val="00CA6457"/>
    <w:rsid w:val="00D11785"/>
    <w:rsid w:val="00D17F2E"/>
    <w:rsid w:val="00D30354"/>
    <w:rsid w:val="00D42DBE"/>
    <w:rsid w:val="00D471F8"/>
    <w:rsid w:val="00DF42A0"/>
    <w:rsid w:val="00DF7C45"/>
    <w:rsid w:val="00E16166"/>
    <w:rsid w:val="00E31565"/>
    <w:rsid w:val="00E46C51"/>
    <w:rsid w:val="00E769FE"/>
    <w:rsid w:val="00EA2CBE"/>
    <w:rsid w:val="00F32FEE"/>
    <w:rsid w:val="00F71278"/>
    <w:rsid w:val="00F85665"/>
    <w:rsid w:val="00FB10BB"/>
    <w:rsid w:val="04362020"/>
    <w:rsid w:val="051A56F5"/>
    <w:rsid w:val="066D6EAA"/>
    <w:rsid w:val="08C662D4"/>
    <w:rsid w:val="09BD4D95"/>
    <w:rsid w:val="0A72786B"/>
    <w:rsid w:val="0F8D41CB"/>
    <w:rsid w:val="11C75270"/>
    <w:rsid w:val="12637CC3"/>
    <w:rsid w:val="12E657C5"/>
    <w:rsid w:val="167C7687"/>
    <w:rsid w:val="168B3546"/>
    <w:rsid w:val="1A2374E0"/>
    <w:rsid w:val="1C305FBE"/>
    <w:rsid w:val="1C317CE2"/>
    <w:rsid w:val="1DD45808"/>
    <w:rsid w:val="1DED42AC"/>
    <w:rsid w:val="1E450E8D"/>
    <w:rsid w:val="20005763"/>
    <w:rsid w:val="20FB313D"/>
    <w:rsid w:val="220B4804"/>
    <w:rsid w:val="26F647F4"/>
    <w:rsid w:val="28043D3E"/>
    <w:rsid w:val="282475E3"/>
    <w:rsid w:val="2A594E3C"/>
    <w:rsid w:val="2AFC17F2"/>
    <w:rsid w:val="2C6100C1"/>
    <w:rsid w:val="3264220D"/>
    <w:rsid w:val="3393517A"/>
    <w:rsid w:val="33EA5B8E"/>
    <w:rsid w:val="38934377"/>
    <w:rsid w:val="3963178C"/>
    <w:rsid w:val="3C4679A8"/>
    <w:rsid w:val="41A5313B"/>
    <w:rsid w:val="41CC2676"/>
    <w:rsid w:val="451E3B7B"/>
    <w:rsid w:val="46B21672"/>
    <w:rsid w:val="4F552460"/>
    <w:rsid w:val="4FCC6863"/>
    <w:rsid w:val="500A214A"/>
    <w:rsid w:val="50C51E4D"/>
    <w:rsid w:val="514877EA"/>
    <w:rsid w:val="522D604D"/>
    <w:rsid w:val="5297585E"/>
    <w:rsid w:val="52AD7D6F"/>
    <w:rsid w:val="5549519D"/>
    <w:rsid w:val="5557596B"/>
    <w:rsid w:val="57BE5BEE"/>
    <w:rsid w:val="57F616BA"/>
    <w:rsid w:val="5B596DFC"/>
    <w:rsid w:val="5DF03945"/>
    <w:rsid w:val="60B65586"/>
    <w:rsid w:val="61DC5986"/>
    <w:rsid w:val="62A406BA"/>
    <w:rsid w:val="63394D8F"/>
    <w:rsid w:val="637C2815"/>
    <w:rsid w:val="640C35F9"/>
    <w:rsid w:val="642E0E35"/>
    <w:rsid w:val="64C43908"/>
    <w:rsid w:val="66EC25D9"/>
    <w:rsid w:val="67224F89"/>
    <w:rsid w:val="6DA23D17"/>
    <w:rsid w:val="6FCB76FF"/>
    <w:rsid w:val="70227F3A"/>
    <w:rsid w:val="710F6EDE"/>
    <w:rsid w:val="72984EC8"/>
    <w:rsid w:val="73A05B70"/>
    <w:rsid w:val="7A353D0B"/>
    <w:rsid w:val="7C5908FB"/>
    <w:rsid w:val="7D3A5E2F"/>
    <w:rsid w:val="7F446FC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9"/>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5"/>
    <w:qFormat/>
    <w:uiPriority w:val="99"/>
    <w:pPr>
      <w:keepNext/>
      <w:widowControl/>
      <w:spacing w:before="240" w:after="60"/>
      <w:jc w:val="left"/>
      <w:outlineLvl w:val="1"/>
    </w:pPr>
    <w:rPr>
      <w:rFonts w:ascii="Cambria" w:hAnsi="Cambria"/>
      <w:b/>
      <w:bCs/>
      <w:i/>
      <w:iCs/>
      <w:kern w:val="0"/>
      <w:sz w:val="28"/>
      <w:szCs w:val="28"/>
    </w:rPr>
  </w:style>
  <w:style w:type="paragraph" w:styleId="2">
    <w:name w:val="heading 3"/>
    <w:basedOn w:val="1"/>
    <w:next w:val="1"/>
    <w:link w:val="26"/>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7"/>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8"/>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9"/>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30"/>
    <w:qFormat/>
    <w:uiPriority w:val="99"/>
    <w:pPr>
      <w:widowControl/>
      <w:spacing w:before="240" w:after="60"/>
      <w:jc w:val="left"/>
      <w:outlineLvl w:val="6"/>
    </w:pPr>
    <w:rPr>
      <w:rFonts w:ascii="Calibri" w:hAnsi="Calibri"/>
      <w:kern w:val="0"/>
      <w:sz w:val="24"/>
    </w:rPr>
  </w:style>
  <w:style w:type="paragraph" w:styleId="9">
    <w:name w:val="heading 8"/>
    <w:basedOn w:val="1"/>
    <w:next w:val="1"/>
    <w:link w:val="31"/>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2"/>
    <w:qFormat/>
    <w:uiPriority w:val="99"/>
    <w:pPr>
      <w:widowControl/>
      <w:spacing w:before="240" w:after="60"/>
      <w:jc w:val="left"/>
      <w:outlineLvl w:val="8"/>
    </w:pPr>
    <w:rPr>
      <w:rFonts w:ascii="Cambria" w:hAnsi="Cambria"/>
      <w:kern w:val="0"/>
      <w:sz w:val="22"/>
      <w:szCs w:val="22"/>
    </w:rPr>
  </w:style>
  <w:style w:type="character" w:default="1" w:styleId="20">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4"/>
    <w:semiHidden/>
    <w:uiPriority w:val="99"/>
    <w:pPr>
      <w:jc w:val="left"/>
    </w:pPr>
  </w:style>
  <w:style w:type="paragraph" w:styleId="12">
    <w:name w:val="Body Text"/>
    <w:basedOn w:val="1"/>
    <w:link w:val="35"/>
    <w:qFormat/>
    <w:uiPriority w:val="99"/>
    <w:pPr>
      <w:spacing w:after="120"/>
    </w:pPr>
  </w:style>
  <w:style w:type="paragraph" w:styleId="13">
    <w:name w:val="Balloon Text"/>
    <w:basedOn w:val="1"/>
    <w:link w:val="36"/>
    <w:semiHidden/>
    <w:qFormat/>
    <w:uiPriority w:val="99"/>
    <w:rPr>
      <w:sz w:val="18"/>
      <w:szCs w:val="18"/>
    </w:rPr>
  </w:style>
  <w:style w:type="paragraph" w:styleId="14">
    <w:name w:val="footer"/>
    <w:basedOn w:val="1"/>
    <w:link w:val="37"/>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38"/>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9"/>
    <w:qFormat/>
    <w:uiPriority w:val="99"/>
    <w:pPr>
      <w:widowControl/>
      <w:spacing w:after="60"/>
      <w:jc w:val="center"/>
      <w:outlineLvl w:val="1"/>
    </w:pPr>
    <w:rPr>
      <w:rFonts w:ascii="Cambria" w:hAnsi="Cambria"/>
      <w:kern w:val="0"/>
      <w:sz w:val="24"/>
    </w:rPr>
  </w:style>
  <w:style w:type="paragraph" w:styleId="17">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paragraph" w:styleId="18">
    <w:name w:val="Body Text First Indent"/>
    <w:basedOn w:val="12"/>
    <w:link w:val="40"/>
    <w:qFormat/>
    <w:uiPriority w:val="99"/>
    <w:pPr>
      <w:spacing w:after="0"/>
      <w:ind w:firstLine="200" w:firstLineChars="200"/>
    </w:pPr>
  </w:style>
  <w:style w:type="character" w:styleId="21">
    <w:name w:val="Strong"/>
    <w:basedOn w:val="20"/>
    <w:qFormat/>
    <w:uiPriority w:val="99"/>
    <w:rPr>
      <w:rFonts w:cs="Times New Roman"/>
      <w:b/>
      <w:bCs/>
    </w:rPr>
  </w:style>
  <w:style w:type="character" w:styleId="22">
    <w:name w:val="Emphasis"/>
    <w:basedOn w:val="20"/>
    <w:qFormat/>
    <w:uiPriority w:val="99"/>
    <w:rPr>
      <w:rFonts w:ascii="Calibri" w:hAnsi="Calibri" w:cs="Times New Roman"/>
      <w:b/>
      <w:i/>
      <w:iCs/>
    </w:rPr>
  </w:style>
  <w:style w:type="character" w:styleId="23">
    <w:name w:val="annotation reference"/>
    <w:basedOn w:val="20"/>
    <w:semiHidden/>
    <w:qFormat/>
    <w:uiPriority w:val="99"/>
    <w:rPr>
      <w:rFonts w:cs="Times New Roman"/>
      <w:sz w:val="21"/>
      <w:szCs w:val="21"/>
    </w:rPr>
  </w:style>
  <w:style w:type="character" w:customStyle="1" w:styleId="24">
    <w:name w:val="Heading 1 Char"/>
    <w:basedOn w:val="20"/>
    <w:link w:val="3"/>
    <w:qFormat/>
    <w:locked/>
    <w:uiPriority w:val="99"/>
    <w:rPr>
      <w:rFonts w:ascii="Cambria" w:hAnsi="Cambria" w:eastAsia="宋体" w:cs="Times New Roman"/>
      <w:b/>
      <w:bCs/>
      <w:kern w:val="32"/>
      <w:sz w:val="32"/>
      <w:szCs w:val="32"/>
    </w:rPr>
  </w:style>
  <w:style w:type="character" w:customStyle="1" w:styleId="25">
    <w:name w:val="Heading 2 Char"/>
    <w:basedOn w:val="20"/>
    <w:link w:val="4"/>
    <w:semiHidden/>
    <w:qFormat/>
    <w:locked/>
    <w:uiPriority w:val="99"/>
    <w:rPr>
      <w:rFonts w:ascii="Cambria" w:hAnsi="Cambria" w:eastAsia="宋体" w:cs="Times New Roman"/>
      <w:b/>
      <w:bCs/>
      <w:i/>
      <w:iCs/>
      <w:sz w:val="28"/>
      <w:szCs w:val="28"/>
    </w:rPr>
  </w:style>
  <w:style w:type="character" w:customStyle="1" w:styleId="26">
    <w:name w:val="Heading 3 Char"/>
    <w:basedOn w:val="20"/>
    <w:link w:val="2"/>
    <w:semiHidden/>
    <w:qFormat/>
    <w:locked/>
    <w:uiPriority w:val="99"/>
    <w:rPr>
      <w:rFonts w:ascii="Cambria" w:hAnsi="Cambria" w:eastAsia="宋体" w:cs="Times New Roman"/>
      <w:b/>
      <w:bCs/>
      <w:sz w:val="26"/>
      <w:szCs w:val="26"/>
    </w:rPr>
  </w:style>
  <w:style w:type="character" w:customStyle="1" w:styleId="27">
    <w:name w:val="Heading 4 Char"/>
    <w:basedOn w:val="20"/>
    <w:link w:val="5"/>
    <w:semiHidden/>
    <w:qFormat/>
    <w:locked/>
    <w:uiPriority w:val="99"/>
    <w:rPr>
      <w:rFonts w:cs="Times New Roman"/>
      <w:b/>
      <w:bCs/>
      <w:sz w:val="28"/>
      <w:szCs w:val="28"/>
    </w:rPr>
  </w:style>
  <w:style w:type="character" w:customStyle="1" w:styleId="28">
    <w:name w:val="Heading 5 Char"/>
    <w:basedOn w:val="20"/>
    <w:link w:val="6"/>
    <w:semiHidden/>
    <w:qFormat/>
    <w:locked/>
    <w:uiPriority w:val="99"/>
    <w:rPr>
      <w:rFonts w:cs="Times New Roman"/>
      <w:b/>
      <w:bCs/>
      <w:i/>
      <w:iCs/>
      <w:sz w:val="26"/>
      <w:szCs w:val="26"/>
    </w:rPr>
  </w:style>
  <w:style w:type="character" w:customStyle="1" w:styleId="29">
    <w:name w:val="Heading 6 Char"/>
    <w:basedOn w:val="20"/>
    <w:link w:val="7"/>
    <w:semiHidden/>
    <w:qFormat/>
    <w:locked/>
    <w:uiPriority w:val="99"/>
    <w:rPr>
      <w:rFonts w:cs="Times New Roman"/>
      <w:b/>
      <w:bCs/>
    </w:rPr>
  </w:style>
  <w:style w:type="character" w:customStyle="1" w:styleId="30">
    <w:name w:val="Heading 7 Char"/>
    <w:basedOn w:val="20"/>
    <w:link w:val="8"/>
    <w:semiHidden/>
    <w:qFormat/>
    <w:locked/>
    <w:uiPriority w:val="99"/>
    <w:rPr>
      <w:rFonts w:cs="Times New Roman"/>
      <w:sz w:val="24"/>
      <w:szCs w:val="24"/>
    </w:rPr>
  </w:style>
  <w:style w:type="character" w:customStyle="1" w:styleId="31">
    <w:name w:val="Heading 8 Char"/>
    <w:basedOn w:val="20"/>
    <w:link w:val="9"/>
    <w:semiHidden/>
    <w:qFormat/>
    <w:locked/>
    <w:uiPriority w:val="99"/>
    <w:rPr>
      <w:rFonts w:cs="Times New Roman"/>
      <w:i/>
      <w:iCs/>
      <w:sz w:val="24"/>
      <w:szCs w:val="24"/>
    </w:rPr>
  </w:style>
  <w:style w:type="character" w:customStyle="1" w:styleId="32">
    <w:name w:val="Heading 9 Char"/>
    <w:basedOn w:val="20"/>
    <w:link w:val="10"/>
    <w:semiHidden/>
    <w:qFormat/>
    <w:locked/>
    <w:uiPriority w:val="99"/>
    <w:rPr>
      <w:rFonts w:ascii="Cambria" w:hAnsi="Cambria" w:eastAsia="宋体" w:cs="Times New Roman"/>
    </w:rPr>
  </w:style>
  <w:style w:type="character" w:customStyle="1" w:styleId="33">
    <w:name w:val="Title Char"/>
    <w:basedOn w:val="20"/>
    <w:link w:val="17"/>
    <w:qFormat/>
    <w:locked/>
    <w:uiPriority w:val="99"/>
    <w:rPr>
      <w:rFonts w:ascii="Cambria" w:hAnsi="Cambria" w:eastAsia="宋体" w:cs="Times New Roman"/>
      <w:b/>
      <w:bCs/>
      <w:kern w:val="28"/>
      <w:sz w:val="32"/>
      <w:szCs w:val="32"/>
    </w:rPr>
  </w:style>
  <w:style w:type="character" w:customStyle="1" w:styleId="34">
    <w:name w:val="Comment Text Char"/>
    <w:basedOn w:val="20"/>
    <w:link w:val="11"/>
    <w:semiHidden/>
    <w:qFormat/>
    <w:uiPriority w:val="99"/>
    <w:rPr>
      <w:szCs w:val="24"/>
    </w:rPr>
  </w:style>
  <w:style w:type="character" w:customStyle="1" w:styleId="35">
    <w:name w:val="Body Text Char"/>
    <w:basedOn w:val="20"/>
    <w:link w:val="12"/>
    <w:semiHidden/>
    <w:qFormat/>
    <w:locked/>
    <w:uiPriority w:val="99"/>
    <w:rPr>
      <w:rFonts w:cs="Times New Roman"/>
      <w:sz w:val="24"/>
      <w:szCs w:val="24"/>
    </w:rPr>
  </w:style>
  <w:style w:type="character" w:customStyle="1" w:styleId="36">
    <w:name w:val="Balloon Text Char"/>
    <w:basedOn w:val="20"/>
    <w:link w:val="13"/>
    <w:semiHidden/>
    <w:qFormat/>
    <w:locked/>
    <w:uiPriority w:val="99"/>
    <w:rPr>
      <w:rFonts w:ascii="Times New Roman" w:hAnsi="Times New Roman" w:eastAsia="宋体" w:cs="Times New Roman"/>
      <w:kern w:val="2"/>
      <w:sz w:val="18"/>
      <w:szCs w:val="18"/>
    </w:rPr>
  </w:style>
  <w:style w:type="character" w:customStyle="1" w:styleId="37">
    <w:name w:val="Footer Char"/>
    <w:basedOn w:val="20"/>
    <w:link w:val="14"/>
    <w:qFormat/>
    <w:locked/>
    <w:uiPriority w:val="99"/>
    <w:rPr>
      <w:rFonts w:ascii="Calibri" w:hAnsi="Calibri" w:eastAsia="宋体" w:cs="Times New Roman"/>
      <w:kern w:val="2"/>
      <w:sz w:val="18"/>
      <w:szCs w:val="18"/>
    </w:rPr>
  </w:style>
  <w:style w:type="character" w:customStyle="1" w:styleId="38">
    <w:name w:val="Header Char"/>
    <w:basedOn w:val="20"/>
    <w:link w:val="15"/>
    <w:qFormat/>
    <w:locked/>
    <w:uiPriority w:val="99"/>
    <w:rPr>
      <w:rFonts w:ascii="Calibri" w:hAnsi="Calibri" w:eastAsia="宋体" w:cs="Times New Roman"/>
      <w:kern w:val="2"/>
      <w:sz w:val="18"/>
      <w:szCs w:val="18"/>
    </w:rPr>
  </w:style>
  <w:style w:type="character" w:customStyle="1" w:styleId="39">
    <w:name w:val="Subtitle Char"/>
    <w:basedOn w:val="20"/>
    <w:link w:val="16"/>
    <w:qFormat/>
    <w:locked/>
    <w:uiPriority w:val="99"/>
    <w:rPr>
      <w:rFonts w:ascii="Cambria" w:hAnsi="Cambria" w:eastAsia="宋体" w:cs="Times New Roman"/>
      <w:sz w:val="24"/>
      <w:szCs w:val="24"/>
    </w:rPr>
  </w:style>
  <w:style w:type="character" w:customStyle="1" w:styleId="40">
    <w:name w:val="Body Text First Indent Char"/>
    <w:basedOn w:val="35"/>
    <w:link w:val="18"/>
    <w:semiHidden/>
    <w:qFormat/>
    <w:locked/>
    <w:uiPriority w:val="99"/>
  </w:style>
  <w:style w:type="paragraph" w:styleId="41">
    <w:name w:val="No Spacing"/>
    <w:basedOn w:val="1"/>
    <w:qFormat/>
    <w:uiPriority w:val="99"/>
    <w:pPr>
      <w:widowControl/>
      <w:jc w:val="left"/>
    </w:pPr>
    <w:rPr>
      <w:rFonts w:ascii="Calibri" w:hAnsi="Calibri"/>
      <w:kern w:val="0"/>
      <w:sz w:val="24"/>
      <w:szCs w:val="32"/>
      <w:lang w:eastAsia="en-US"/>
    </w:rPr>
  </w:style>
  <w:style w:type="paragraph" w:styleId="42">
    <w:name w:val="List Paragraph"/>
    <w:basedOn w:val="1"/>
    <w:qFormat/>
    <w:uiPriority w:val="99"/>
    <w:pPr>
      <w:widowControl/>
      <w:ind w:left="720"/>
      <w:contextualSpacing/>
      <w:jc w:val="left"/>
    </w:pPr>
    <w:rPr>
      <w:rFonts w:ascii="Calibri" w:hAnsi="Calibri"/>
      <w:kern w:val="0"/>
      <w:sz w:val="24"/>
      <w:lang w:eastAsia="en-US"/>
    </w:rPr>
  </w:style>
  <w:style w:type="paragraph" w:styleId="43">
    <w:name w:val="Quote"/>
    <w:basedOn w:val="1"/>
    <w:next w:val="1"/>
    <w:link w:val="44"/>
    <w:qFormat/>
    <w:uiPriority w:val="99"/>
    <w:pPr>
      <w:widowControl/>
      <w:jc w:val="left"/>
    </w:pPr>
    <w:rPr>
      <w:rFonts w:ascii="Calibri" w:hAnsi="Calibri"/>
      <w:i/>
      <w:kern w:val="0"/>
      <w:sz w:val="24"/>
    </w:rPr>
  </w:style>
  <w:style w:type="character" w:customStyle="1" w:styleId="44">
    <w:name w:val="Quote Char"/>
    <w:basedOn w:val="20"/>
    <w:link w:val="43"/>
    <w:qFormat/>
    <w:locked/>
    <w:uiPriority w:val="99"/>
    <w:rPr>
      <w:rFonts w:cs="Times New Roman"/>
      <w:i/>
      <w:sz w:val="24"/>
      <w:szCs w:val="24"/>
    </w:rPr>
  </w:style>
  <w:style w:type="paragraph" w:styleId="45">
    <w:name w:val="Intense Quote"/>
    <w:basedOn w:val="1"/>
    <w:next w:val="1"/>
    <w:link w:val="46"/>
    <w:qFormat/>
    <w:uiPriority w:val="99"/>
    <w:pPr>
      <w:widowControl/>
      <w:ind w:left="720" w:right="720"/>
      <w:jc w:val="left"/>
    </w:pPr>
    <w:rPr>
      <w:rFonts w:ascii="Calibri" w:hAnsi="Calibri"/>
      <w:b/>
      <w:i/>
      <w:kern w:val="0"/>
      <w:sz w:val="24"/>
      <w:szCs w:val="22"/>
    </w:rPr>
  </w:style>
  <w:style w:type="character" w:customStyle="1" w:styleId="46">
    <w:name w:val="Intense Quote Char"/>
    <w:basedOn w:val="20"/>
    <w:link w:val="45"/>
    <w:qFormat/>
    <w:locked/>
    <w:uiPriority w:val="99"/>
    <w:rPr>
      <w:rFonts w:cs="Times New Roman"/>
      <w:b/>
      <w:i/>
      <w:sz w:val="24"/>
    </w:rPr>
  </w:style>
  <w:style w:type="character" w:customStyle="1" w:styleId="47">
    <w:name w:val="不明显强调1"/>
    <w:qFormat/>
    <w:uiPriority w:val="99"/>
    <w:rPr>
      <w:i/>
      <w:color w:val="595959"/>
    </w:rPr>
  </w:style>
  <w:style w:type="character" w:customStyle="1" w:styleId="48">
    <w:name w:val="明显强调1"/>
    <w:basedOn w:val="20"/>
    <w:qFormat/>
    <w:uiPriority w:val="99"/>
    <w:rPr>
      <w:rFonts w:cs="Times New Roman"/>
      <w:b/>
      <w:i/>
      <w:sz w:val="24"/>
      <w:szCs w:val="24"/>
      <w:u w:val="single"/>
    </w:rPr>
  </w:style>
  <w:style w:type="character" w:customStyle="1" w:styleId="49">
    <w:name w:val="不明显参考1"/>
    <w:basedOn w:val="20"/>
    <w:qFormat/>
    <w:uiPriority w:val="99"/>
    <w:rPr>
      <w:rFonts w:cs="Times New Roman"/>
      <w:sz w:val="24"/>
      <w:szCs w:val="24"/>
      <w:u w:val="single"/>
    </w:rPr>
  </w:style>
  <w:style w:type="character" w:customStyle="1" w:styleId="50">
    <w:name w:val="明显参考1"/>
    <w:basedOn w:val="20"/>
    <w:qFormat/>
    <w:uiPriority w:val="99"/>
    <w:rPr>
      <w:rFonts w:cs="Times New Roman"/>
      <w:b/>
      <w:sz w:val="24"/>
      <w:u w:val="single"/>
    </w:rPr>
  </w:style>
  <w:style w:type="character" w:customStyle="1" w:styleId="51">
    <w:name w:val="书籍标题1"/>
    <w:basedOn w:val="20"/>
    <w:qFormat/>
    <w:uiPriority w:val="99"/>
    <w:rPr>
      <w:rFonts w:ascii="Cambria" w:hAnsi="Cambria" w:eastAsia="宋体" w:cs="Times New Roman"/>
      <w:b/>
      <w:i/>
      <w:sz w:val="24"/>
      <w:szCs w:val="24"/>
    </w:rPr>
  </w:style>
  <w:style w:type="paragraph" w:customStyle="1" w:styleId="52">
    <w:name w:val="TOC 标题1"/>
    <w:basedOn w:val="3"/>
    <w:next w:val="1"/>
    <w:semiHidden/>
    <w:qFormat/>
    <w:uiPriority w:val="99"/>
    <w:pPr>
      <w:outlineLvl w:val="9"/>
    </w:pPr>
    <w:rPr>
      <w:lang w:eastAsia="en-US"/>
    </w:rPr>
  </w:style>
  <w:style w:type="paragraph" w:customStyle="1" w:styleId="53">
    <w:name w:val="Heading2"/>
    <w:next w:val="1"/>
    <w:qFormat/>
    <w:uiPriority w:val="99"/>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99"/>
    <w:rPr>
      <w:rFonts w:ascii="仿宋_GB2312" w:hAnsi="仿宋_GB2312" w:eastAsia="仿宋_GB2312"/>
      <w:color w:val="000000"/>
      <w:sz w:val="32"/>
    </w:rPr>
  </w:style>
  <w:style w:type="paragraph" w:customStyle="1" w:styleId="5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16</Pages>
  <Words>1028</Words>
  <Characters>5860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2021-04-12T03:32:00Z</cp:lastPrinted>
  <dcterms:modified xsi:type="dcterms:W3CDTF">2021-05-29T09:39:18Z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5EB9540DFD2C45899ACFAA9A0D2A46E2</vt:lpwstr>
  </property>
  <property fmtid="{D5CDD505-2E9C-101B-9397-08002B2CF9AE}" pid="4" name="KSOSaveFontToCloudKey">
    <vt:lpwstr>229835342_cloud</vt:lpwstr>
  </property>
</Properties>
</file>